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57A9" w14:textId="6480D6DC" w:rsidR="002E5874" w:rsidRPr="007934F7" w:rsidRDefault="002E5874" w:rsidP="00AF3779">
      <w:pPr>
        <w:spacing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934F7">
        <w:rPr>
          <w:rFonts w:ascii="Verdana" w:hAnsi="Verdana"/>
          <w:b/>
          <w:sz w:val="20"/>
          <w:szCs w:val="20"/>
        </w:rPr>
        <w:t xml:space="preserve">ADVIES </w:t>
      </w:r>
      <w:r w:rsidR="00E8378D">
        <w:rPr>
          <w:rFonts w:ascii="Verdana" w:hAnsi="Verdana"/>
          <w:b/>
          <w:sz w:val="20"/>
          <w:szCs w:val="20"/>
        </w:rPr>
        <w:t xml:space="preserve">LANDELIJKE </w:t>
      </w:r>
      <w:r w:rsidR="003B354E" w:rsidRPr="007934F7">
        <w:rPr>
          <w:rFonts w:ascii="Verdana" w:hAnsi="Verdana"/>
          <w:b/>
          <w:sz w:val="20"/>
          <w:szCs w:val="20"/>
        </w:rPr>
        <w:t xml:space="preserve">MS WERKGROEP </w:t>
      </w:r>
      <w:r w:rsidR="00E8378D">
        <w:rPr>
          <w:rFonts w:ascii="Verdana" w:hAnsi="Verdana"/>
          <w:b/>
          <w:sz w:val="20"/>
          <w:szCs w:val="20"/>
        </w:rPr>
        <w:t xml:space="preserve">VAN DE NVN OVER </w:t>
      </w:r>
      <w:r w:rsidRPr="007934F7">
        <w:rPr>
          <w:rFonts w:ascii="Verdana" w:hAnsi="Verdana"/>
          <w:b/>
          <w:sz w:val="20"/>
          <w:szCs w:val="20"/>
        </w:rPr>
        <w:t>COVID 19 VACCINATIES BIJ MENSEN MET MULTIPLE SCLEROSE</w:t>
      </w:r>
      <w:r w:rsidR="00AF3779" w:rsidRPr="007934F7">
        <w:rPr>
          <w:rFonts w:ascii="Verdana" w:hAnsi="Verdana"/>
          <w:b/>
          <w:sz w:val="20"/>
          <w:szCs w:val="20"/>
        </w:rPr>
        <w:t xml:space="preserve"> </w:t>
      </w:r>
    </w:p>
    <w:p w14:paraId="2A584CE2" w14:textId="145D4015" w:rsidR="007A7D8D" w:rsidRPr="007934F7" w:rsidRDefault="00CA2B27" w:rsidP="00AF37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Juni </w:t>
      </w:r>
      <w:r w:rsidR="00AF3779" w:rsidRPr="007934F7">
        <w:rPr>
          <w:rFonts w:ascii="Verdana" w:hAnsi="Verdana"/>
          <w:sz w:val="20"/>
          <w:szCs w:val="20"/>
        </w:rPr>
        <w:t>2021</w:t>
      </w:r>
    </w:p>
    <w:p w14:paraId="3700DB00" w14:textId="77777777" w:rsidR="00D00F7D" w:rsidRDefault="006A00BB" w:rsidP="00AF3779">
      <w:pPr>
        <w:spacing w:line="240" w:lineRule="auto"/>
        <w:rPr>
          <w:rFonts w:ascii="Verdana" w:hAnsi="Verdana"/>
          <w:sz w:val="20"/>
          <w:szCs w:val="20"/>
        </w:rPr>
      </w:pPr>
      <w:r w:rsidRPr="007934F7">
        <w:rPr>
          <w:rFonts w:ascii="Verdana" w:hAnsi="Verdana"/>
          <w:sz w:val="20"/>
          <w:szCs w:val="20"/>
        </w:rPr>
        <w:t>COVID</w:t>
      </w:r>
      <w:r w:rsidR="007A7D8D" w:rsidRPr="007934F7">
        <w:rPr>
          <w:rFonts w:ascii="Verdana" w:hAnsi="Verdana"/>
          <w:sz w:val="20"/>
          <w:szCs w:val="20"/>
        </w:rPr>
        <w:t>-</w:t>
      </w:r>
      <w:r w:rsidRPr="007934F7">
        <w:rPr>
          <w:rFonts w:ascii="Verdana" w:hAnsi="Verdana"/>
          <w:sz w:val="20"/>
          <w:szCs w:val="20"/>
        </w:rPr>
        <w:t xml:space="preserve">19 vaccinaties zijn niet bij mensen met MS en bij mensen die </w:t>
      </w:r>
      <w:proofErr w:type="spellStart"/>
      <w:r w:rsidRPr="007934F7">
        <w:rPr>
          <w:rFonts w:ascii="Verdana" w:hAnsi="Verdana"/>
          <w:sz w:val="20"/>
          <w:szCs w:val="20"/>
        </w:rPr>
        <w:t>ziektemodulerend</w:t>
      </w:r>
      <w:r w:rsidR="008814E3" w:rsidRPr="007934F7">
        <w:rPr>
          <w:rFonts w:ascii="Verdana" w:hAnsi="Verdana"/>
          <w:sz w:val="20"/>
          <w:szCs w:val="20"/>
        </w:rPr>
        <w:t>e</w:t>
      </w:r>
      <w:proofErr w:type="spellEnd"/>
      <w:r w:rsidRPr="007934F7">
        <w:rPr>
          <w:rFonts w:ascii="Verdana" w:hAnsi="Verdana"/>
          <w:sz w:val="20"/>
          <w:szCs w:val="20"/>
        </w:rPr>
        <w:t xml:space="preserve"> therapie gebruiken onderzocht. </w:t>
      </w:r>
    </w:p>
    <w:p w14:paraId="19B66C30" w14:textId="54116537" w:rsidR="00456721" w:rsidRDefault="006A00BB" w:rsidP="00DD587F">
      <w:pPr>
        <w:pStyle w:val="Default"/>
        <w:rPr>
          <w:sz w:val="20"/>
          <w:szCs w:val="20"/>
        </w:rPr>
      </w:pPr>
      <w:r w:rsidRPr="007934F7">
        <w:rPr>
          <w:sz w:val="20"/>
          <w:szCs w:val="20"/>
        </w:rPr>
        <w:t xml:space="preserve">Het </w:t>
      </w:r>
      <w:r w:rsidR="007A7D8D" w:rsidRPr="007934F7">
        <w:rPr>
          <w:sz w:val="20"/>
          <w:szCs w:val="20"/>
        </w:rPr>
        <w:t xml:space="preserve">hier gegeven </w:t>
      </w:r>
      <w:r w:rsidRPr="007934F7">
        <w:rPr>
          <w:sz w:val="20"/>
          <w:szCs w:val="20"/>
        </w:rPr>
        <w:t xml:space="preserve">advies </w:t>
      </w:r>
      <w:r w:rsidR="00E6383F">
        <w:rPr>
          <w:sz w:val="20"/>
          <w:szCs w:val="20"/>
        </w:rPr>
        <w:t>is gebaseerd</w:t>
      </w:r>
      <w:r w:rsidRPr="007934F7">
        <w:rPr>
          <w:sz w:val="20"/>
          <w:szCs w:val="20"/>
        </w:rPr>
        <w:t xml:space="preserve"> </w:t>
      </w:r>
      <w:r w:rsidR="00461A95">
        <w:rPr>
          <w:sz w:val="20"/>
          <w:szCs w:val="20"/>
        </w:rPr>
        <w:t xml:space="preserve">op de adviezen van </w:t>
      </w:r>
      <w:r w:rsidR="00933627">
        <w:rPr>
          <w:sz w:val="20"/>
          <w:szCs w:val="20"/>
        </w:rPr>
        <w:t>de MSIF</w:t>
      </w:r>
    </w:p>
    <w:p w14:paraId="155CBF5A" w14:textId="77777777" w:rsidR="00456721" w:rsidRDefault="00456721" w:rsidP="00DD587F">
      <w:pPr>
        <w:pStyle w:val="Default"/>
      </w:pPr>
    </w:p>
    <w:p w14:paraId="57B5E35A" w14:textId="0A510079" w:rsidR="00933627" w:rsidRPr="003903CA" w:rsidRDefault="005A7C7D" w:rsidP="00AF3779">
      <w:pPr>
        <w:spacing w:line="240" w:lineRule="auto"/>
        <w:rPr>
          <w:rFonts w:ascii="Verdana" w:hAnsi="Verdana"/>
          <w:sz w:val="20"/>
          <w:szCs w:val="20"/>
          <w:lang w:val="en-US"/>
        </w:rPr>
      </w:pPr>
      <w:hyperlink r:id="rId8" w:history="1">
        <w:r w:rsidR="00933627" w:rsidRPr="003903CA">
          <w:rPr>
            <w:rStyle w:val="Hyperlink"/>
            <w:lang w:val="en-US"/>
          </w:rPr>
          <w:t>The coronavirus and MS – updated global advice (msif.org)</w:t>
        </w:r>
      </w:hyperlink>
    </w:p>
    <w:p w14:paraId="188A3B38" w14:textId="1167E57C" w:rsidR="006A00BB" w:rsidRPr="007934F7" w:rsidRDefault="00461A95" w:rsidP="00AF37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</w:t>
      </w:r>
      <w:r w:rsidR="006A00BB" w:rsidRPr="007934F7">
        <w:rPr>
          <w:rFonts w:ascii="Verdana" w:hAnsi="Verdana"/>
          <w:sz w:val="20"/>
          <w:szCs w:val="20"/>
        </w:rPr>
        <w:t xml:space="preserve"> kan aan de hand van nieuwe inzichten aangepast worden. </w:t>
      </w:r>
      <w:r w:rsidR="007A7D8D" w:rsidRPr="007934F7">
        <w:rPr>
          <w:rFonts w:ascii="Verdana" w:hAnsi="Verdana"/>
          <w:sz w:val="20"/>
          <w:szCs w:val="20"/>
        </w:rPr>
        <w:t xml:space="preserve">De adviezen gelden voor </w:t>
      </w:r>
      <w:r w:rsidR="00691E3E">
        <w:rPr>
          <w:rFonts w:ascii="Verdana" w:hAnsi="Verdana"/>
          <w:sz w:val="20"/>
          <w:szCs w:val="20"/>
        </w:rPr>
        <w:t>het Pfizer</w:t>
      </w:r>
      <w:r w:rsidR="00DD587F">
        <w:rPr>
          <w:rFonts w:ascii="Verdana" w:hAnsi="Verdana"/>
          <w:sz w:val="20"/>
          <w:szCs w:val="20"/>
        </w:rPr>
        <w:t>,</w:t>
      </w:r>
      <w:r w:rsidR="00204288">
        <w:rPr>
          <w:rFonts w:ascii="Verdana" w:hAnsi="Verdana"/>
          <w:sz w:val="20"/>
          <w:szCs w:val="20"/>
        </w:rPr>
        <w:t xml:space="preserve"> </w:t>
      </w:r>
      <w:proofErr w:type="spellStart"/>
      <w:r w:rsidR="00691E3E">
        <w:rPr>
          <w:rFonts w:ascii="Verdana" w:hAnsi="Verdana"/>
          <w:sz w:val="20"/>
          <w:szCs w:val="20"/>
        </w:rPr>
        <w:t>Moderna</w:t>
      </w:r>
      <w:proofErr w:type="spellEnd"/>
      <w:r w:rsidR="00167D2F">
        <w:rPr>
          <w:rFonts w:ascii="Verdana" w:hAnsi="Verdana"/>
          <w:sz w:val="20"/>
          <w:szCs w:val="20"/>
        </w:rPr>
        <w:t>,</w:t>
      </w:r>
      <w:r w:rsidR="00656903">
        <w:rPr>
          <w:rFonts w:ascii="Verdana" w:hAnsi="Verdana"/>
          <w:sz w:val="20"/>
          <w:szCs w:val="20"/>
        </w:rPr>
        <w:t xml:space="preserve"> </w:t>
      </w:r>
      <w:proofErr w:type="spellStart"/>
      <w:r w:rsidR="00DD587F">
        <w:rPr>
          <w:rFonts w:ascii="Verdana" w:hAnsi="Verdana"/>
          <w:sz w:val="20"/>
          <w:szCs w:val="20"/>
        </w:rPr>
        <w:t>Astra</w:t>
      </w:r>
      <w:r w:rsidR="00167D2F">
        <w:rPr>
          <w:rFonts w:ascii="Verdana" w:hAnsi="Verdana"/>
          <w:sz w:val="20"/>
          <w:szCs w:val="20"/>
        </w:rPr>
        <w:t>Zeneca</w:t>
      </w:r>
      <w:proofErr w:type="spellEnd"/>
      <w:r w:rsidR="00656903">
        <w:rPr>
          <w:rFonts w:ascii="Verdana" w:hAnsi="Verdana"/>
          <w:sz w:val="20"/>
          <w:szCs w:val="20"/>
        </w:rPr>
        <w:t xml:space="preserve"> </w:t>
      </w:r>
      <w:r w:rsidR="00167D2F">
        <w:rPr>
          <w:rFonts w:ascii="Verdana" w:hAnsi="Verdana"/>
          <w:sz w:val="20"/>
          <w:szCs w:val="20"/>
        </w:rPr>
        <w:t xml:space="preserve">en </w:t>
      </w:r>
      <w:proofErr w:type="spellStart"/>
      <w:r w:rsidR="00167D2F">
        <w:rPr>
          <w:rFonts w:ascii="Verdana" w:hAnsi="Verdana"/>
          <w:sz w:val="20"/>
          <w:szCs w:val="20"/>
        </w:rPr>
        <w:t>Johnson&amp;Johnson</w:t>
      </w:r>
      <w:proofErr w:type="spellEnd"/>
      <w:r w:rsidR="00167D2F">
        <w:rPr>
          <w:rFonts w:ascii="Verdana" w:hAnsi="Verdana"/>
          <w:sz w:val="20"/>
          <w:szCs w:val="20"/>
        </w:rPr>
        <w:t xml:space="preserve"> vaccin</w:t>
      </w:r>
      <w:r w:rsidR="00691E3E">
        <w:rPr>
          <w:rFonts w:ascii="Verdana" w:hAnsi="Verdana"/>
          <w:sz w:val="20"/>
          <w:szCs w:val="20"/>
        </w:rPr>
        <w:t xml:space="preserve">. Dit zijn de vaccins </w:t>
      </w:r>
      <w:r w:rsidR="007A7D8D" w:rsidRPr="007934F7">
        <w:rPr>
          <w:rFonts w:ascii="Verdana" w:hAnsi="Verdana"/>
          <w:sz w:val="20"/>
          <w:szCs w:val="20"/>
        </w:rPr>
        <w:t xml:space="preserve">die </w:t>
      </w:r>
      <w:r w:rsidR="007934F7">
        <w:rPr>
          <w:rFonts w:ascii="Verdana" w:hAnsi="Verdana"/>
          <w:sz w:val="20"/>
          <w:szCs w:val="20"/>
        </w:rPr>
        <w:t>momenteel in Nederland</w:t>
      </w:r>
      <w:r w:rsidR="003B354E" w:rsidRPr="007934F7">
        <w:rPr>
          <w:rFonts w:ascii="Verdana" w:hAnsi="Verdana"/>
          <w:sz w:val="20"/>
          <w:szCs w:val="20"/>
        </w:rPr>
        <w:t xml:space="preserve"> </w:t>
      </w:r>
      <w:r w:rsidR="00691E3E">
        <w:rPr>
          <w:rFonts w:ascii="Verdana" w:hAnsi="Verdana"/>
          <w:sz w:val="20"/>
          <w:szCs w:val="20"/>
        </w:rPr>
        <w:t>gegeven worden</w:t>
      </w:r>
      <w:r w:rsidR="007A7D8D" w:rsidRPr="007934F7">
        <w:rPr>
          <w:rFonts w:ascii="Verdana" w:hAnsi="Verdana"/>
          <w:sz w:val="20"/>
          <w:szCs w:val="20"/>
        </w:rPr>
        <w:t>.</w:t>
      </w:r>
      <w:r w:rsidR="008814E3" w:rsidRPr="007934F7">
        <w:rPr>
          <w:rFonts w:ascii="Verdana" w:hAnsi="Verdana"/>
          <w:sz w:val="20"/>
          <w:szCs w:val="20"/>
        </w:rPr>
        <w:t xml:space="preserve"> </w:t>
      </w:r>
    </w:p>
    <w:p w14:paraId="07E567AE" w14:textId="2D758712" w:rsidR="00456721" w:rsidRPr="00E6383F" w:rsidRDefault="00AF3779" w:rsidP="00461A95">
      <w:pPr>
        <w:rPr>
          <w:rFonts w:ascii="Verdana" w:hAnsi="Verdana"/>
          <w:b/>
          <w:sz w:val="20"/>
          <w:szCs w:val="20"/>
        </w:rPr>
      </w:pPr>
      <w:r w:rsidRPr="00E6383F">
        <w:rPr>
          <w:rFonts w:ascii="Verdana" w:hAnsi="Verdana"/>
          <w:b/>
          <w:sz w:val="20"/>
          <w:szCs w:val="20"/>
        </w:rPr>
        <w:t>Het advies aan alle patiënten met MS is om zich te laten vaccineren.</w:t>
      </w:r>
      <w:r w:rsidR="005E3352" w:rsidRPr="00E6383F">
        <w:rPr>
          <w:rFonts w:ascii="Verdana" w:hAnsi="Verdana"/>
          <w:b/>
          <w:sz w:val="20"/>
          <w:szCs w:val="20"/>
        </w:rPr>
        <w:t xml:space="preserve"> Dit geldt ook voor mensen met </w:t>
      </w:r>
      <w:proofErr w:type="spellStart"/>
      <w:r w:rsidR="005E3352" w:rsidRPr="00E6383F">
        <w:rPr>
          <w:rFonts w:ascii="Verdana" w:hAnsi="Verdana"/>
          <w:b/>
          <w:sz w:val="20"/>
          <w:szCs w:val="20"/>
        </w:rPr>
        <w:t>ziektemodulerende</w:t>
      </w:r>
      <w:proofErr w:type="spellEnd"/>
      <w:r w:rsidR="005E3352" w:rsidRPr="00E6383F">
        <w:rPr>
          <w:rFonts w:ascii="Verdana" w:hAnsi="Verdana"/>
          <w:b/>
          <w:sz w:val="20"/>
          <w:szCs w:val="20"/>
        </w:rPr>
        <w:t xml:space="preserve"> therapie</w:t>
      </w:r>
      <w:r w:rsidR="00461A95" w:rsidRPr="00E6383F">
        <w:rPr>
          <w:rFonts w:ascii="Verdana" w:hAnsi="Verdana"/>
          <w:b/>
          <w:sz w:val="20"/>
          <w:szCs w:val="20"/>
        </w:rPr>
        <w:t>, ongeacht welke therapie ze gebruiken</w:t>
      </w:r>
      <w:r w:rsidR="00676AB8">
        <w:rPr>
          <w:rFonts w:ascii="Verdana" w:hAnsi="Verdana"/>
          <w:b/>
          <w:sz w:val="20"/>
          <w:szCs w:val="20"/>
        </w:rPr>
        <w:t xml:space="preserve">, </w:t>
      </w:r>
      <w:r w:rsidR="00676AB8" w:rsidRPr="00676AB8">
        <w:rPr>
          <w:rFonts w:ascii="Verdana" w:hAnsi="Verdana"/>
          <w:b/>
          <w:sz w:val="20"/>
          <w:szCs w:val="20"/>
        </w:rPr>
        <w:t>ongeacht het tijdstip van de laatste gift van medicatie.</w:t>
      </w:r>
    </w:p>
    <w:p w14:paraId="3E819102" w14:textId="6E526283" w:rsidR="008A2C8C" w:rsidRDefault="008A2C8C" w:rsidP="00AF37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ADVIES BIJ GEBRUIK VAN ZIEKTEMODULERENDE THERAPIE</w:t>
      </w:r>
    </w:p>
    <w:p w14:paraId="1DB8C466" w14:textId="20392847" w:rsidR="005C3166" w:rsidRPr="007934F7" w:rsidRDefault="00E76452" w:rsidP="00AF37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Vanwege de ingewikkelde logistiek rondom</w:t>
      </w:r>
      <w:r w:rsidR="00DD587F">
        <w:rPr>
          <w:rFonts w:ascii="Verdana" w:hAnsi="Verdana"/>
          <w:sz w:val="20"/>
          <w:szCs w:val="20"/>
        </w:rPr>
        <w:t xml:space="preserve"> massa</w:t>
      </w:r>
      <w:r>
        <w:rPr>
          <w:rFonts w:ascii="Verdana" w:hAnsi="Verdana"/>
          <w:sz w:val="20"/>
          <w:szCs w:val="20"/>
        </w:rPr>
        <w:t xml:space="preserve"> vaccinatie is individue</w:t>
      </w:r>
      <w:r w:rsidR="00DD587F">
        <w:rPr>
          <w:rFonts w:ascii="Verdana" w:hAnsi="Verdana"/>
          <w:sz w:val="20"/>
          <w:szCs w:val="20"/>
        </w:rPr>
        <w:t xml:space="preserve">el maatwerk </w:t>
      </w:r>
      <w:r>
        <w:rPr>
          <w:rFonts w:ascii="Verdana" w:hAnsi="Verdana"/>
          <w:sz w:val="20"/>
          <w:szCs w:val="20"/>
        </w:rPr>
        <w:t>van vaccinatie op dit moment niet mogelijk</w:t>
      </w:r>
      <w:r w:rsidR="008A2C8C">
        <w:rPr>
          <w:rFonts w:ascii="Verdana" w:hAnsi="Verdana"/>
          <w:sz w:val="20"/>
          <w:szCs w:val="20"/>
        </w:rPr>
        <w:t xml:space="preserve"> en is het advies om te vaccineren zodra de kans er is</w:t>
      </w:r>
      <w:r>
        <w:rPr>
          <w:rFonts w:ascii="Verdana" w:hAnsi="Verdana"/>
          <w:sz w:val="20"/>
          <w:szCs w:val="20"/>
        </w:rPr>
        <w:t xml:space="preserve">. </w:t>
      </w:r>
      <w:r w:rsidR="00461A95">
        <w:rPr>
          <w:rFonts w:ascii="Verdana" w:hAnsi="Verdana"/>
          <w:sz w:val="20"/>
          <w:szCs w:val="20"/>
        </w:rPr>
        <w:t xml:space="preserve">Als er in de </w:t>
      </w:r>
      <w:r w:rsidR="002D0AA1">
        <w:rPr>
          <w:rFonts w:ascii="Verdana" w:hAnsi="Verdana"/>
          <w:sz w:val="20"/>
          <w:szCs w:val="20"/>
        </w:rPr>
        <w:t xml:space="preserve">toekomst beter gepland kan worden </w:t>
      </w:r>
      <w:r w:rsidR="00676AB8">
        <w:rPr>
          <w:rFonts w:ascii="Verdana" w:hAnsi="Verdana"/>
          <w:sz w:val="20"/>
          <w:szCs w:val="20"/>
        </w:rPr>
        <w:t xml:space="preserve">wanneer de vaccinatie plaatsvindt </w:t>
      </w:r>
      <w:r w:rsidR="002D0AA1">
        <w:rPr>
          <w:rFonts w:ascii="Verdana" w:hAnsi="Verdana"/>
          <w:sz w:val="20"/>
          <w:szCs w:val="20"/>
        </w:rPr>
        <w:t xml:space="preserve">heeft het de voorkeur om bij bepaalde medicijnen een periode te laten zitten tussen de laatste gift </w:t>
      </w:r>
      <w:proofErr w:type="spellStart"/>
      <w:r w:rsidR="00DD587F">
        <w:rPr>
          <w:rFonts w:ascii="Verdana" w:hAnsi="Verdana"/>
          <w:sz w:val="20"/>
          <w:szCs w:val="20"/>
        </w:rPr>
        <w:t>immuunmodulerende</w:t>
      </w:r>
      <w:proofErr w:type="spellEnd"/>
      <w:r w:rsidR="00DD587F">
        <w:rPr>
          <w:rFonts w:ascii="Verdana" w:hAnsi="Verdana"/>
          <w:sz w:val="20"/>
          <w:szCs w:val="20"/>
        </w:rPr>
        <w:t xml:space="preserve"> medicatie </w:t>
      </w:r>
      <w:r w:rsidR="002D0AA1">
        <w:rPr>
          <w:rFonts w:ascii="Verdana" w:hAnsi="Verdana"/>
          <w:sz w:val="20"/>
          <w:szCs w:val="20"/>
        </w:rPr>
        <w:t xml:space="preserve">en de vaccinatie. De reden is dat het vaccin dan waarschijnlijk beter zal werken.  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3C55D7" w:rsidRPr="007934F7" w14:paraId="64E3F689" w14:textId="77777777" w:rsidTr="007934F7">
        <w:tc>
          <w:tcPr>
            <w:tcW w:w="3397" w:type="dxa"/>
            <w:shd w:val="clear" w:color="auto" w:fill="auto"/>
          </w:tcPr>
          <w:p w14:paraId="4191F2D4" w14:textId="335D6A69" w:rsidR="003C55D7" w:rsidRPr="007934F7" w:rsidRDefault="002E5874" w:rsidP="008F1B0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34F7">
              <w:t xml:space="preserve"> </w:t>
            </w:r>
            <w:r w:rsidR="003C55D7" w:rsidRPr="007934F7">
              <w:rPr>
                <w:rFonts w:ascii="Verdana" w:hAnsi="Verdana"/>
                <w:b/>
                <w:sz w:val="20"/>
                <w:szCs w:val="20"/>
              </w:rPr>
              <w:t>MIDDEL</w:t>
            </w:r>
          </w:p>
        </w:tc>
        <w:tc>
          <w:tcPr>
            <w:tcW w:w="6521" w:type="dxa"/>
            <w:shd w:val="clear" w:color="auto" w:fill="auto"/>
          </w:tcPr>
          <w:p w14:paraId="171D94D9" w14:textId="317171E8" w:rsidR="003C55D7" w:rsidRPr="007934F7" w:rsidRDefault="003C55D7" w:rsidP="008F1B0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34F7">
              <w:rPr>
                <w:rFonts w:ascii="Verdana" w:hAnsi="Verdana"/>
                <w:b/>
                <w:sz w:val="20"/>
                <w:szCs w:val="20"/>
              </w:rPr>
              <w:t>ADVIES</w:t>
            </w:r>
            <w:r w:rsidR="002D0A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3C55D7" w:rsidRPr="007934F7" w14:paraId="16E7C188" w14:textId="77777777" w:rsidTr="007934F7">
        <w:tc>
          <w:tcPr>
            <w:tcW w:w="3397" w:type="dxa"/>
          </w:tcPr>
          <w:p w14:paraId="1875DE55" w14:textId="77777777" w:rsidR="003C55D7" w:rsidRPr="007934F7" w:rsidRDefault="003C55D7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Alemtuzumab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Lemtrada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7CDF2051" w14:textId="514D787B" w:rsidR="003C55D7" w:rsidRPr="007934F7" w:rsidRDefault="00676AB8" w:rsidP="00692475">
            <w:pPr>
              <w:rPr>
                <w:rFonts w:ascii="Verdana" w:hAnsi="Verdana"/>
                <w:sz w:val="20"/>
                <w:szCs w:val="20"/>
              </w:rPr>
            </w:pPr>
            <w:r w:rsidRPr="007934F7">
              <w:rPr>
                <w:rFonts w:ascii="Verdana" w:hAnsi="Verdana"/>
                <w:sz w:val="20"/>
                <w:szCs w:val="20"/>
              </w:rPr>
              <w:t>V</w:t>
            </w:r>
            <w:r w:rsidR="003C55D7" w:rsidRPr="007934F7">
              <w:rPr>
                <w:rFonts w:ascii="Verdana" w:hAnsi="Verdana"/>
                <w:sz w:val="20"/>
                <w:szCs w:val="20"/>
              </w:rPr>
              <w:t>accineren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34F7">
              <w:rPr>
                <w:rFonts w:ascii="Verdana" w:hAnsi="Verdana"/>
                <w:sz w:val="20"/>
                <w:szCs w:val="20"/>
              </w:rPr>
              <w:t>zodra mogelijk</w:t>
            </w:r>
            <w:r w:rsidR="008F1B02" w:rsidRPr="007934F7">
              <w:rPr>
                <w:rFonts w:ascii="Verdana" w:hAnsi="Verdana"/>
                <w:sz w:val="20"/>
                <w:szCs w:val="20"/>
              </w:rPr>
              <w:t xml:space="preserve">, bij voorkeur </w:t>
            </w:r>
            <w:r w:rsidR="00F53B79" w:rsidRPr="007934F7">
              <w:rPr>
                <w:rFonts w:ascii="Verdana" w:hAnsi="Verdana"/>
                <w:sz w:val="20"/>
                <w:szCs w:val="20"/>
              </w:rPr>
              <w:t xml:space="preserve">minimaal </w:t>
            </w:r>
            <w:r w:rsidR="000048BE">
              <w:rPr>
                <w:rFonts w:ascii="Verdana" w:hAnsi="Verdana"/>
                <w:sz w:val="20"/>
                <w:szCs w:val="20"/>
              </w:rPr>
              <w:t xml:space="preserve">4 weken voor of </w:t>
            </w:r>
            <w:r w:rsidR="00692475">
              <w:rPr>
                <w:rFonts w:ascii="Verdana" w:hAnsi="Verdana"/>
                <w:sz w:val="20"/>
                <w:szCs w:val="20"/>
              </w:rPr>
              <w:t xml:space="preserve">24 weken </w:t>
            </w:r>
            <w:r w:rsidR="003C55D7" w:rsidRPr="007934F7">
              <w:rPr>
                <w:rFonts w:ascii="Verdana" w:hAnsi="Verdana"/>
                <w:sz w:val="20"/>
                <w:szCs w:val="20"/>
              </w:rPr>
              <w:t>na laatste gift</w:t>
            </w:r>
            <w:r w:rsidR="00691E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C55D7" w:rsidRPr="007934F7" w14:paraId="352A79F5" w14:textId="77777777" w:rsidTr="007934F7">
        <w:tc>
          <w:tcPr>
            <w:tcW w:w="3397" w:type="dxa"/>
          </w:tcPr>
          <w:p w14:paraId="53F84CDB" w14:textId="77777777" w:rsidR="003C55D7" w:rsidRPr="007934F7" w:rsidRDefault="003C55D7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Cladribine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Mavenclad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77A94E37" w14:textId="4BB6B51D" w:rsidR="003C55D7" w:rsidRPr="007934F7" w:rsidRDefault="003C55D7" w:rsidP="0081138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="00676AB8"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  <w:r w:rsidR="008F1B02" w:rsidRPr="007934F7">
              <w:rPr>
                <w:rFonts w:ascii="Verdana" w:hAnsi="Verdana"/>
                <w:sz w:val="20"/>
                <w:szCs w:val="20"/>
              </w:rPr>
              <w:t xml:space="preserve">, bij voorkeur </w:t>
            </w:r>
            <w:r w:rsidR="00692475">
              <w:rPr>
                <w:rFonts w:ascii="Verdana" w:hAnsi="Verdana"/>
                <w:sz w:val="20"/>
                <w:szCs w:val="20"/>
              </w:rPr>
              <w:t>2-</w:t>
            </w:r>
            <w:r w:rsidR="00F53B79" w:rsidRPr="007934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48BE">
              <w:rPr>
                <w:rFonts w:ascii="Verdana" w:hAnsi="Verdana"/>
                <w:sz w:val="20"/>
                <w:szCs w:val="20"/>
              </w:rPr>
              <w:t>4 weken voor</w:t>
            </w:r>
            <w:r w:rsidR="006924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2475">
              <w:rPr>
                <w:rFonts w:ascii="Verdana" w:hAnsi="Verdana"/>
                <w:sz w:val="20"/>
                <w:szCs w:val="20"/>
              </w:rPr>
              <w:t>cladribine</w:t>
            </w:r>
            <w:proofErr w:type="spellEnd"/>
            <w:r w:rsidR="00811388">
              <w:rPr>
                <w:rFonts w:ascii="Verdana" w:hAnsi="Verdana"/>
                <w:sz w:val="20"/>
                <w:szCs w:val="20"/>
              </w:rPr>
              <w:t xml:space="preserve"> of 18 weken na laatste gift</w:t>
            </w:r>
          </w:p>
        </w:tc>
      </w:tr>
      <w:tr w:rsidR="003C55D7" w:rsidRPr="007934F7" w14:paraId="66749B70" w14:textId="77777777" w:rsidTr="007934F7">
        <w:tc>
          <w:tcPr>
            <w:tcW w:w="3397" w:type="dxa"/>
          </w:tcPr>
          <w:p w14:paraId="39958E16" w14:textId="77777777" w:rsidR="003C55D7" w:rsidRPr="007934F7" w:rsidRDefault="003C55D7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Dimethylfumaraat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Tecfidera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3978B2EA" w14:textId="77777777" w:rsidR="003C55D7" w:rsidRPr="007934F7" w:rsidRDefault="003C55D7" w:rsidP="008F1B0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="008F1B02"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</w:p>
        </w:tc>
      </w:tr>
      <w:tr w:rsidR="008F1B02" w:rsidRPr="007934F7" w14:paraId="67D43DAE" w14:textId="77777777" w:rsidTr="007934F7">
        <w:tc>
          <w:tcPr>
            <w:tcW w:w="3397" w:type="dxa"/>
          </w:tcPr>
          <w:p w14:paraId="227C0F20" w14:textId="7777777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Fingolimod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Gilenya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0C5D06A2" w14:textId="7777777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</w:p>
        </w:tc>
      </w:tr>
      <w:tr w:rsidR="008F1B02" w:rsidRPr="007934F7" w14:paraId="7604EF07" w14:textId="77777777" w:rsidTr="007934F7">
        <w:tc>
          <w:tcPr>
            <w:tcW w:w="3397" w:type="dxa"/>
          </w:tcPr>
          <w:p w14:paraId="544F2B54" w14:textId="7777777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Glatirameeracetaat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Copaxone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7C3E1DAA" w14:textId="7777777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</w:p>
        </w:tc>
      </w:tr>
      <w:tr w:rsidR="008F1B02" w:rsidRPr="007934F7" w14:paraId="08566E3C" w14:textId="77777777" w:rsidTr="007934F7">
        <w:tc>
          <w:tcPr>
            <w:tcW w:w="3397" w:type="dxa"/>
          </w:tcPr>
          <w:p w14:paraId="3652CB84" w14:textId="548EAF9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r w:rsidRPr="007934F7">
              <w:rPr>
                <w:rFonts w:ascii="Verdana" w:hAnsi="Verdana"/>
                <w:sz w:val="20"/>
                <w:szCs w:val="20"/>
              </w:rPr>
              <w:t>Interferon-bèta</w:t>
            </w:r>
            <w:r w:rsidR="00E8378D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E8378D">
              <w:rPr>
                <w:rFonts w:ascii="Verdana" w:hAnsi="Verdana"/>
                <w:sz w:val="20"/>
                <w:szCs w:val="20"/>
              </w:rPr>
              <w:t>Avonex</w:t>
            </w:r>
            <w:proofErr w:type="spellEnd"/>
            <w:r w:rsidR="00E8378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E8378D">
              <w:rPr>
                <w:rFonts w:ascii="Verdana" w:hAnsi="Verdana"/>
                <w:sz w:val="20"/>
                <w:szCs w:val="20"/>
              </w:rPr>
              <w:t>Betaferon</w:t>
            </w:r>
            <w:proofErr w:type="spellEnd"/>
            <w:r w:rsidR="00E8378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E8378D">
              <w:rPr>
                <w:rFonts w:ascii="Verdana" w:hAnsi="Verdana"/>
                <w:sz w:val="20"/>
                <w:szCs w:val="20"/>
              </w:rPr>
              <w:t>Plegridy</w:t>
            </w:r>
            <w:proofErr w:type="spellEnd"/>
            <w:r w:rsidR="00E8378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E8378D">
              <w:rPr>
                <w:rFonts w:ascii="Verdana" w:hAnsi="Verdana"/>
                <w:sz w:val="20"/>
                <w:szCs w:val="20"/>
              </w:rPr>
              <w:t>Rebif</w:t>
            </w:r>
            <w:proofErr w:type="spellEnd"/>
            <w:r w:rsidR="00E8378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2156570E" w14:textId="7777777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</w:p>
        </w:tc>
      </w:tr>
      <w:tr w:rsidR="003C55D7" w:rsidRPr="007934F7" w14:paraId="41FDA39C" w14:textId="77777777" w:rsidTr="007934F7">
        <w:tc>
          <w:tcPr>
            <w:tcW w:w="3397" w:type="dxa"/>
          </w:tcPr>
          <w:p w14:paraId="76CFA579" w14:textId="77777777" w:rsidR="003C55D7" w:rsidRPr="007934F7" w:rsidRDefault="003C55D7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Natalizumab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Tysabri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170BFD35" w14:textId="77777777" w:rsidR="003C55D7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</w:p>
        </w:tc>
      </w:tr>
      <w:tr w:rsidR="003C55D7" w:rsidRPr="007934F7" w14:paraId="0F079377" w14:textId="77777777" w:rsidTr="007934F7">
        <w:tc>
          <w:tcPr>
            <w:tcW w:w="3397" w:type="dxa"/>
          </w:tcPr>
          <w:p w14:paraId="3A7A6AD8" w14:textId="4FA098F4" w:rsidR="003C55D7" w:rsidRPr="007934F7" w:rsidRDefault="003C55D7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Ocrelizumab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Ocrevus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  <w:r w:rsidR="006A0AC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6A0ACE">
              <w:rPr>
                <w:rFonts w:ascii="Verdana" w:hAnsi="Verdana"/>
                <w:sz w:val="20"/>
                <w:szCs w:val="20"/>
              </w:rPr>
              <w:t>Rituximab</w:t>
            </w:r>
            <w:proofErr w:type="spellEnd"/>
          </w:p>
        </w:tc>
        <w:tc>
          <w:tcPr>
            <w:tcW w:w="6521" w:type="dxa"/>
          </w:tcPr>
          <w:p w14:paraId="0561ABC7" w14:textId="2CF92F34" w:rsidR="003C55D7" w:rsidRPr="007934F7" w:rsidRDefault="003C55D7" w:rsidP="0069247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="00676AB8"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  <w:r w:rsidR="008F1B02" w:rsidRPr="007934F7">
              <w:rPr>
                <w:rFonts w:ascii="Verdana" w:hAnsi="Verdana"/>
                <w:sz w:val="20"/>
                <w:szCs w:val="20"/>
              </w:rPr>
              <w:t xml:space="preserve">, bij voorkeur </w:t>
            </w:r>
            <w:r w:rsidR="00692475">
              <w:rPr>
                <w:rFonts w:ascii="Verdana" w:hAnsi="Verdana"/>
                <w:sz w:val="20"/>
                <w:szCs w:val="20"/>
              </w:rPr>
              <w:t>2-</w:t>
            </w:r>
            <w:r w:rsidR="000048BE">
              <w:rPr>
                <w:rFonts w:ascii="Verdana" w:hAnsi="Verdana"/>
                <w:sz w:val="20"/>
                <w:szCs w:val="20"/>
              </w:rPr>
              <w:t xml:space="preserve">4 weken voor of </w:t>
            </w:r>
            <w:r w:rsidR="00692475">
              <w:rPr>
                <w:rFonts w:ascii="Verdana" w:hAnsi="Verdana"/>
                <w:sz w:val="20"/>
                <w:szCs w:val="20"/>
              </w:rPr>
              <w:t xml:space="preserve">12 weken </w:t>
            </w:r>
            <w:r w:rsidR="008F1B02" w:rsidRPr="007934F7">
              <w:rPr>
                <w:rFonts w:ascii="Verdana" w:hAnsi="Verdana"/>
                <w:sz w:val="20"/>
                <w:szCs w:val="20"/>
              </w:rPr>
              <w:t>na laatste gift</w:t>
            </w:r>
            <w:r w:rsidR="00DD587F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692475" w:rsidRPr="007934F7" w14:paraId="35E476A3" w14:textId="77777777" w:rsidTr="007934F7">
        <w:tc>
          <w:tcPr>
            <w:tcW w:w="3397" w:type="dxa"/>
          </w:tcPr>
          <w:p w14:paraId="3FD3CA08" w14:textId="685B7E3E" w:rsidR="00692475" w:rsidRPr="007934F7" w:rsidRDefault="00692475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Ofatumumab</w:t>
            </w:r>
            <w:proofErr w:type="spellEnd"/>
            <w:r w:rsidR="00774393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774393">
              <w:rPr>
                <w:rFonts w:ascii="Verdana" w:hAnsi="Verdana"/>
                <w:sz w:val="20"/>
                <w:szCs w:val="20"/>
              </w:rPr>
              <w:t>Kesimpta</w:t>
            </w:r>
            <w:proofErr w:type="spellEnd"/>
            <w:r w:rsidR="0077439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3AFA7843" w14:textId="42A49A16" w:rsidR="00692475" w:rsidRPr="007934F7" w:rsidRDefault="00692475" w:rsidP="0069247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Pr="007934F7">
              <w:rPr>
                <w:rFonts w:ascii="Verdana" w:hAnsi="Verdana"/>
                <w:sz w:val="20"/>
                <w:szCs w:val="20"/>
              </w:rPr>
              <w:t xml:space="preserve"> zodra mogelijk, bij voorkeur </w:t>
            </w:r>
            <w:r>
              <w:rPr>
                <w:rFonts w:ascii="Verdana" w:hAnsi="Verdana"/>
                <w:sz w:val="20"/>
                <w:szCs w:val="20"/>
              </w:rPr>
              <w:t xml:space="preserve">2-4 weken voor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ofatumumab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; Geen advies over termijn 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ofatumumab</w:t>
            </w:r>
            <w:proofErr w:type="spellEnd"/>
          </w:p>
        </w:tc>
      </w:tr>
      <w:tr w:rsidR="008F1B02" w:rsidRPr="007934F7" w14:paraId="2A8FFC9C" w14:textId="77777777" w:rsidTr="007934F7">
        <w:tc>
          <w:tcPr>
            <w:tcW w:w="3397" w:type="dxa"/>
          </w:tcPr>
          <w:p w14:paraId="30B0E91D" w14:textId="7777777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Ozanimod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Zeposia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0DEBCFCF" w14:textId="7777777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</w:p>
        </w:tc>
      </w:tr>
      <w:tr w:rsidR="008F1B02" w:rsidRPr="007934F7" w14:paraId="6011CBE1" w14:textId="77777777" w:rsidTr="007934F7">
        <w:tc>
          <w:tcPr>
            <w:tcW w:w="3397" w:type="dxa"/>
          </w:tcPr>
          <w:p w14:paraId="70DAC04A" w14:textId="7777777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Siponimod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Mayzent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130FCC00" w14:textId="77777777" w:rsidR="008F1B02" w:rsidRPr="007934F7" w:rsidRDefault="008F1B02" w:rsidP="008F1B0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</w:p>
        </w:tc>
      </w:tr>
      <w:tr w:rsidR="00927FDD" w:rsidRPr="007934F7" w14:paraId="3BDC8F40" w14:textId="77777777" w:rsidTr="00F53B79">
        <w:tc>
          <w:tcPr>
            <w:tcW w:w="3397" w:type="dxa"/>
          </w:tcPr>
          <w:p w14:paraId="25C75334" w14:textId="77777777" w:rsidR="00927FDD" w:rsidRPr="007934F7" w:rsidRDefault="00927FDD" w:rsidP="008F1B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Teriflunomide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7934F7">
              <w:rPr>
                <w:rFonts w:ascii="Verdana" w:hAnsi="Verdana"/>
                <w:sz w:val="20"/>
                <w:szCs w:val="20"/>
              </w:rPr>
              <w:t>Aubagio</w:t>
            </w:r>
            <w:proofErr w:type="spellEnd"/>
            <w:r w:rsidRPr="007934F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6ACFAAE9" w14:textId="77777777" w:rsidR="00927FDD" w:rsidRPr="007934F7" w:rsidRDefault="00927FDD" w:rsidP="008F1B0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</w:p>
        </w:tc>
      </w:tr>
      <w:tr w:rsidR="002D0AA1" w:rsidRPr="007934F7" w14:paraId="4C5C8210" w14:textId="77777777" w:rsidTr="00093001">
        <w:tc>
          <w:tcPr>
            <w:tcW w:w="3397" w:type="dxa"/>
          </w:tcPr>
          <w:p w14:paraId="098DBACC" w14:textId="1850F528" w:rsidR="002D0AA1" w:rsidRPr="007934F7" w:rsidRDefault="002D0AA1" w:rsidP="000930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Stamcelbehandeling</w:t>
            </w:r>
          </w:p>
        </w:tc>
        <w:tc>
          <w:tcPr>
            <w:tcW w:w="6521" w:type="dxa"/>
          </w:tcPr>
          <w:p w14:paraId="1D43C801" w14:textId="5870161B" w:rsidR="002D0AA1" w:rsidRPr="007934F7" w:rsidRDefault="002D0AA1" w:rsidP="00CA2B2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="00676AB8"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  <w:r w:rsidRPr="007934F7">
              <w:rPr>
                <w:rFonts w:ascii="Verdana" w:hAnsi="Verdana"/>
                <w:sz w:val="20"/>
                <w:szCs w:val="20"/>
              </w:rPr>
              <w:t xml:space="preserve">, bij voorkeur minimaal </w:t>
            </w:r>
            <w:r w:rsidR="000048BE">
              <w:rPr>
                <w:rFonts w:ascii="Verdana" w:hAnsi="Verdana"/>
                <w:sz w:val="20"/>
                <w:szCs w:val="20"/>
              </w:rPr>
              <w:t xml:space="preserve">4 weken voor of </w:t>
            </w:r>
            <w:r w:rsidRPr="007934F7">
              <w:rPr>
                <w:rFonts w:ascii="Verdana" w:hAnsi="Verdana"/>
                <w:sz w:val="20"/>
                <w:szCs w:val="20"/>
              </w:rPr>
              <w:t xml:space="preserve">3 maanden na </w:t>
            </w:r>
            <w:r w:rsidR="00CA2B27">
              <w:rPr>
                <w:rFonts w:ascii="Verdana" w:hAnsi="Verdana"/>
                <w:sz w:val="20"/>
                <w:szCs w:val="20"/>
              </w:rPr>
              <w:t>behandeling</w:t>
            </w:r>
          </w:p>
        </w:tc>
      </w:tr>
      <w:tr w:rsidR="002D0AA1" w:rsidRPr="007934F7" w14:paraId="2028D68B" w14:textId="77777777" w:rsidTr="002D0AA1">
        <w:tc>
          <w:tcPr>
            <w:tcW w:w="3397" w:type="dxa"/>
          </w:tcPr>
          <w:p w14:paraId="19493996" w14:textId="2850F50A" w:rsidR="002D0AA1" w:rsidRPr="007934F7" w:rsidRDefault="002D0AA1" w:rsidP="002D0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Methylprednisolon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stootkuur</w:t>
            </w:r>
          </w:p>
        </w:tc>
        <w:tc>
          <w:tcPr>
            <w:tcW w:w="6521" w:type="dxa"/>
          </w:tcPr>
          <w:p w14:paraId="2932E285" w14:textId="7DAA1C75" w:rsidR="002D0AA1" w:rsidRPr="007934F7" w:rsidRDefault="002D0AA1" w:rsidP="006A0A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934F7">
              <w:rPr>
                <w:rFonts w:ascii="Verdana" w:hAnsi="Verdana"/>
                <w:sz w:val="20"/>
                <w:szCs w:val="20"/>
              </w:rPr>
              <w:t>vaccineren</w:t>
            </w:r>
            <w:proofErr w:type="gramEnd"/>
            <w:r w:rsidR="00676AB8" w:rsidRPr="007934F7">
              <w:rPr>
                <w:rFonts w:ascii="Verdana" w:hAnsi="Verdana"/>
                <w:sz w:val="20"/>
                <w:szCs w:val="20"/>
              </w:rPr>
              <w:t xml:space="preserve"> zodra mogelijk</w:t>
            </w:r>
            <w:r w:rsidRPr="007934F7">
              <w:rPr>
                <w:rFonts w:ascii="Verdana" w:hAnsi="Verdana"/>
                <w:sz w:val="20"/>
                <w:szCs w:val="20"/>
              </w:rPr>
              <w:t xml:space="preserve">, bij voorkeur </w:t>
            </w:r>
            <w:r>
              <w:rPr>
                <w:rFonts w:ascii="Verdana" w:hAnsi="Verdana"/>
                <w:sz w:val="20"/>
                <w:szCs w:val="20"/>
              </w:rPr>
              <w:t xml:space="preserve">minimaal </w:t>
            </w:r>
            <w:r w:rsidR="003903CA">
              <w:rPr>
                <w:rFonts w:ascii="Verdana" w:hAnsi="Verdana"/>
                <w:sz w:val="20"/>
                <w:szCs w:val="20"/>
              </w:rPr>
              <w:t>3-5 dagen</w:t>
            </w:r>
            <w:r w:rsidR="006A0A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34F7">
              <w:rPr>
                <w:rFonts w:ascii="Verdana" w:hAnsi="Verdana"/>
                <w:sz w:val="20"/>
                <w:szCs w:val="20"/>
              </w:rPr>
              <w:t>na laatste gift</w:t>
            </w:r>
          </w:p>
        </w:tc>
      </w:tr>
    </w:tbl>
    <w:p w14:paraId="09333A79" w14:textId="77777777" w:rsidR="002D0AA1" w:rsidRPr="006A0ACE" w:rsidRDefault="002D0AA1" w:rsidP="00AF3779">
      <w:pPr>
        <w:spacing w:line="240" w:lineRule="auto"/>
        <w:rPr>
          <w:rFonts w:ascii="Verdana" w:hAnsi="Verdana"/>
          <w:sz w:val="20"/>
          <w:szCs w:val="20"/>
        </w:rPr>
      </w:pPr>
    </w:p>
    <w:p w14:paraId="61CB5A9A" w14:textId="154F4905" w:rsidR="00DD587F" w:rsidRPr="006032B3" w:rsidRDefault="006A0ACE" w:rsidP="006032B3">
      <w:pPr>
        <w:pStyle w:val="Lijstalinea"/>
        <w:spacing w:line="240" w:lineRule="auto"/>
        <w:ind w:left="0"/>
        <w:rPr>
          <w:rFonts w:ascii="Verdana" w:hAnsi="Verdana"/>
          <w:sz w:val="18"/>
          <w:szCs w:val="20"/>
        </w:rPr>
      </w:pPr>
      <w:r w:rsidRPr="006032B3">
        <w:rPr>
          <w:rFonts w:ascii="Verdana" w:hAnsi="Verdana"/>
          <w:color w:val="353535"/>
          <w:sz w:val="18"/>
          <w:szCs w:val="20"/>
          <w:shd w:val="clear" w:color="auto" w:fill="FFFFFF"/>
        </w:rPr>
        <w:t xml:space="preserve">* </w:t>
      </w:r>
      <w:r w:rsidR="00DD587F" w:rsidRPr="006032B3">
        <w:rPr>
          <w:rFonts w:ascii="Verdana" w:hAnsi="Verdana"/>
          <w:sz w:val="18"/>
          <w:szCs w:val="20"/>
        </w:rPr>
        <w:t xml:space="preserve">MSIF en </w:t>
      </w:r>
      <w:r w:rsidR="000A5FF3" w:rsidRPr="006032B3">
        <w:rPr>
          <w:rFonts w:ascii="Verdana" w:hAnsi="Verdana"/>
          <w:sz w:val="18"/>
          <w:szCs w:val="20"/>
        </w:rPr>
        <w:t>andere specialismen (zoals internisten) adviseren</w:t>
      </w:r>
      <w:r w:rsidR="00DD587F" w:rsidRPr="006032B3">
        <w:rPr>
          <w:rFonts w:ascii="Verdana" w:hAnsi="Verdana"/>
          <w:sz w:val="18"/>
          <w:szCs w:val="20"/>
        </w:rPr>
        <w:t xml:space="preserve"> een interval van bij voorkeur</w:t>
      </w:r>
      <w:r w:rsidR="00CA2B27" w:rsidRPr="006032B3">
        <w:rPr>
          <w:rFonts w:ascii="Verdana" w:hAnsi="Verdana"/>
          <w:sz w:val="18"/>
          <w:szCs w:val="20"/>
        </w:rPr>
        <w:t xml:space="preserve"> </w:t>
      </w:r>
      <w:r w:rsidR="00DD587F" w:rsidRPr="006032B3">
        <w:rPr>
          <w:rFonts w:ascii="Verdana" w:hAnsi="Verdana"/>
          <w:sz w:val="18"/>
          <w:szCs w:val="20"/>
        </w:rPr>
        <w:t xml:space="preserve">3 maanden na laatste gift intraveneus toegediende B-cel </w:t>
      </w:r>
      <w:proofErr w:type="spellStart"/>
      <w:r w:rsidR="00DD587F" w:rsidRPr="006032B3">
        <w:rPr>
          <w:rFonts w:ascii="Verdana" w:hAnsi="Verdana"/>
          <w:sz w:val="18"/>
          <w:szCs w:val="20"/>
        </w:rPr>
        <w:t>deple</w:t>
      </w:r>
      <w:r w:rsidR="004514B8" w:rsidRPr="006032B3">
        <w:rPr>
          <w:rFonts w:ascii="Verdana" w:hAnsi="Verdana"/>
          <w:sz w:val="18"/>
          <w:szCs w:val="20"/>
        </w:rPr>
        <w:t>te</w:t>
      </w:r>
      <w:r w:rsidR="00DD587F" w:rsidRPr="006032B3">
        <w:rPr>
          <w:rFonts w:ascii="Verdana" w:hAnsi="Verdana"/>
          <w:sz w:val="18"/>
          <w:szCs w:val="20"/>
        </w:rPr>
        <w:t>rende</w:t>
      </w:r>
      <w:proofErr w:type="spellEnd"/>
      <w:r w:rsidR="00DD587F" w:rsidRPr="006032B3">
        <w:rPr>
          <w:rFonts w:ascii="Verdana" w:hAnsi="Verdana"/>
          <w:sz w:val="18"/>
          <w:szCs w:val="20"/>
        </w:rPr>
        <w:t xml:space="preserve"> therapie. </w:t>
      </w:r>
      <w:r w:rsidR="00CA2B27" w:rsidRPr="006032B3">
        <w:rPr>
          <w:rFonts w:ascii="Verdana" w:hAnsi="Verdana"/>
          <w:sz w:val="18"/>
          <w:szCs w:val="20"/>
        </w:rPr>
        <w:t>Voor de</w:t>
      </w:r>
      <w:r w:rsidR="003903CA" w:rsidRPr="006032B3">
        <w:rPr>
          <w:rFonts w:ascii="Verdana" w:hAnsi="Verdana"/>
          <w:sz w:val="18"/>
          <w:szCs w:val="20"/>
        </w:rPr>
        <w:t xml:space="preserve"> eenduidig</w:t>
      </w:r>
      <w:r w:rsidR="00CA2B27" w:rsidRPr="006032B3">
        <w:rPr>
          <w:rFonts w:ascii="Verdana" w:hAnsi="Verdana"/>
          <w:sz w:val="18"/>
          <w:szCs w:val="20"/>
        </w:rPr>
        <w:t xml:space="preserve">heid </w:t>
      </w:r>
      <w:r w:rsidR="003903CA" w:rsidRPr="006032B3">
        <w:rPr>
          <w:rFonts w:ascii="Verdana" w:hAnsi="Verdana"/>
          <w:sz w:val="18"/>
          <w:szCs w:val="20"/>
        </w:rPr>
        <w:t xml:space="preserve">hebben wij dit overgenomen. </w:t>
      </w:r>
      <w:r w:rsidR="00DD587F" w:rsidRPr="006032B3">
        <w:rPr>
          <w:rFonts w:ascii="Verdana" w:hAnsi="Verdana"/>
          <w:sz w:val="18"/>
          <w:szCs w:val="20"/>
        </w:rPr>
        <w:t xml:space="preserve">Aangezien er na 3 maanden nog geen B-cel repletie is </w:t>
      </w:r>
      <w:r w:rsidR="003903CA" w:rsidRPr="006032B3">
        <w:rPr>
          <w:rFonts w:ascii="Verdana" w:hAnsi="Verdana"/>
          <w:sz w:val="18"/>
          <w:szCs w:val="20"/>
        </w:rPr>
        <w:t xml:space="preserve">opgetreden </w:t>
      </w:r>
      <w:r w:rsidR="00FF5DDC" w:rsidRPr="006032B3">
        <w:rPr>
          <w:rFonts w:ascii="Verdana" w:hAnsi="Verdana"/>
          <w:sz w:val="18"/>
          <w:szCs w:val="20"/>
        </w:rPr>
        <w:t xml:space="preserve">en </w:t>
      </w:r>
      <w:proofErr w:type="spellStart"/>
      <w:r w:rsidR="00FF5DDC" w:rsidRPr="006032B3">
        <w:rPr>
          <w:rFonts w:ascii="Verdana" w:hAnsi="Verdana"/>
          <w:sz w:val="18"/>
          <w:szCs w:val="20"/>
        </w:rPr>
        <w:t>ocrelizumab</w:t>
      </w:r>
      <w:proofErr w:type="spellEnd"/>
      <w:r w:rsidR="00FF5DDC" w:rsidRPr="006032B3">
        <w:rPr>
          <w:rFonts w:ascii="Verdana" w:hAnsi="Verdana"/>
          <w:sz w:val="18"/>
          <w:szCs w:val="20"/>
        </w:rPr>
        <w:t xml:space="preserve"> in zodanige frequentie gegeven wordt dat dit ook vrijwel niet </w:t>
      </w:r>
      <w:proofErr w:type="gramStart"/>
      <w:r w:rsidR="00FF5DDC" w:rsidRPr="006032B3">
        <w:rPr>
          <w:rFonts w:ascii="Verdana" w:hAnsi="Verdana"/>
          <w:sz w:val="18"/>
          <w:szCs w:val="20"/>
        </w:rPr>
        <w:t>gebeurt</w:t>
      </w:r>
      <w:proofErr w:type="gramEnd"/>
      <w:r w:rsidR="00FF5DDC" w:rsidRPr="006032B3">
        <w:rPr>
          <w:rFonts w:ascii="Verdana" w:hAnsi="Verdana"/>
          <w:sz w:val="18"/>
          <w:szCs w:val="20"/>
        </w:rPr>
        <w:t xml:space="preserve"> </w:t>
      </w:r>
      <w:r w:rsidR="00DD587F" w:rsidRPr="006032B3">
        <w:rPr>
          <w:rFonts w:ascii="Verdana" w:hAnsi="Verdana"/>
          <w:sz w:val="18"/>
          <w:szCs w:val="20"/>
        </w:rPr>
        <w:t xml:space="preserve">zijn wij van mening dat er geen </w:t>
      </w:r>
      <w:r w:rsidR="00DF46D9" w:rsidRPr="006032B3">
        <w:rPr>
          <w:rFonts w:ascii="Verdana" w:hAnsi="Verdana"/>
          <w:sz w:val="18"/>
          <w:szCs w:val="20"/>
        </w:rPr>
        <w:t xml:space="preserve">relevant verschil te verwachten is van vaccinatie </w:t>
      </w:r>
      <w:r w:rsidR="00FF5DDC" w:rsidRPr="006032B3">
        <w:rPr>
          <w:rFonts w:ascii="Verdana" w:hAnsi="Verdana"/>
          <w:sz w:val="18"/>
          <w:szCs w:val="20"/>
        </w:rPr>
        <w:t>kort na een gift</w:t>
      </w:r>
      <w:r w:rsidR="00DF46D9" w:rsidRPr="006032B3">
        <w:rPr>
          <w:rFonts w:ascii="Verdana" w:hAnsi="Verdana"/>
          <w:sz w:val="18"/>
          <w:szCs w:val="20"/>
        </w:rPr>
        <w:t xml:space="preserve"> </w:t>
      </w:r>
      <w:r w:rsidR="00FF5DDC" w:rsidRPr="006032B3">
        <w:rPr>
          <w:rFonts w:ascii="Verdana" w:hAnsi="Verdana"/>
          <w:sz w:val="18"/>
          <w:szCs w:val="20"/>
        </w:rPr>
        <w:t xml:space="preserve">B-cel </w:t>
      </w:r>
      <w:proofErr w:type="spellStart"/>
      <w:r w:rsidR="00FF5DDC" w:rsidRPr="006032B3">
        <w:rPr>
          <w:rFonts w:ascii="Verdana" w:hAnsi="Verdana"/>
          <w:sz w:val="18"/>
          <w:szCs w:val="20"/>
        </w:rPr>
        <w:t>depleterende</w:t>
      </w:r>
      <w:proofErr w:type="spellEnd"/>
      <w:r w:rsidR="00FF5DDC" w:rsidRPr="006032B3">
        <w:rPr>
          <w:rFonts w:ascii="Verdana" w:hAnsi="Verdana"/>
          <w:sz w:val="18"/>
          <w:szCs w:val="20"/>
        </w:rPr>
        <w:t xml:space="preserve"> therapie </w:t>
      </w:r>
      <w:r w:rsidR="003903CA" w:rsidRPr="006032B3">
        <w:rPr>
          <w:rFonts w:ascii="Verdana" w:hAnsi="Verdana"/>
          <w:sz w:val="18"/>
          <w:szCs w:val="20"/>
        </w:rPr>
        <w:t>of 3 maanden na een gift</w:t>
      </w:r>
      <w:r w:rsidR="00DF46D9" w:rsidRPr="006032B3">
        <w:rPr>
          <w:rFonts w:ascii="Verdana" w:hAnsi="Verdana"/>
          <w:sz w:val="18"/>
          <w:szCs w:val="20"/>
        </w:rPr>
        <w:t>.</w:t>
      </w:r>
      <w:r w:rsidRPr="006032B3">
        <w:rPr>
          <w:rFonts w:ascii="Verdana" w:hAnsi="Verdana"/>
          <w:sz w:val="18"/>
          <w:szCs w:val="20"/>
        </w:rPr>
        <w:t xml:space="preserve"> Lopend onderzoek zal hier duidelijkheid over moeten geven.</w:t>
      </w:r>
    </w:p>
    <w:p w14:paraId="04625BC9" w14:textId="295EAC0F" w:rsidR="008A2C8C" w:rsidRDefault="008A2C8C" w:rsidP="00AF37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ADVIES BIJ START VAN ZIEKTEMODULERENDE THERAPIE</w:t>
      </w:r>
    </w:p>
    <w:p w14:paraId="0D1035F2" w14:textId="5C7D2A6A" w:rsidR="008A2C8C" w:rsidRDefault="002D0AA1" w:rsidP="00AF37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Indien de mogelijkheid bestaat te wachten met starten van </w:t>
      </w:r>
      <w:proofErr w:type="spellStart"/>
      <w:r w:rsidR="008A2C8C">
        <w:rPr>
          <w:rFonts w:ascii="Verdana" w:hAnsi="Verdana"/>
          <w:sz w:val="20"/>
          <w:szCs w:val="20"/>
        </w:rPr>
        <w:t>fingolimod</w:t>
      </w:r>
      <w:proofErr w:type="spellEnd"/>
      <w:r w:rsidR="008A2C8C">
        <w:rPr>
          <w:rFonts w:ascii="Verdana" w:hAnsi="Verdana"/>
          <w:sz w:val="20"/>
          <w:szCs w:val="20"/>
        </w:rPr>
        <w:t xml:space="preserve">, </w:t>
      </w:r>
      <w:proofErr w:type="spellStart"/>
      <w:r w:rsidR="008A2C8C">
        <w:rPr>
          <w:rFonts w:ascii="Verdana" w:hAnsi="Verdana"/>
          <w:sz w:val="20"/>
          <w:szCs w:val="20"/>
        </w:rPr>
        <w:t>siponimod</w:t>
      </w:r>
      <w:proofErr w:type="spellEnd"/>
      <w:r w:rsidR="008A2C8C">
        <w:rPr>
          <w:rFonts w:ascii="Verdana" w:hAnsi="Verdana"/>
          <w:sz w:val="20"/>
          <w:szCs w:val="20"/>
        </w:rPr>
        <w:t xml:space="preserve">, </w:t>
      </w:r>
      <w:proofErr w:type="spellStart"/>
      <w:r w:rsidR="008A2C8C">
        <w:rPr>
          <w:rFonts w:ascii="Verdana" w:hAnsi="Verdana"/>
          <w:sz w:val="20"/>
          <w:szCs w:val="20"/>
        </w:rPr>
        <w:t>ozanimod</w:t>
      </w:r>
      <w:proofErr w:type="spellEnd"/>
      <w:r w:rsidR="008A2C8C">
        <w:rPr>
          <w:rFonts w:ascii="Verdana" w:hAnsi="Verdana"/>
          <w:sz w:val="20"/>
          <w:szCs w:val="20"/>
        </w:rPr>
        <w:t xml:space="preserve">, </w:t>
      </w:r>
      <w:proofErr w:type="spellStart"/>
      <w:r w:rsidR="008A2C8C">
        <w:rPr>
          <w:rFonts w:ascii="Verdana" w:hAnsi="Verdana"/>
          <w:sz w:val="20"/>
          <w:szCs w:val="20"/>
        </w:rPr>
        <w:t>cladribine</w:t>
      </w:r>
      <w:proofErr w:type="spellEnd"/>
      <w:r w:rsidR="008A2C8C">
        <w:rPr>
          <w:rFonts w:ascii="Verdana" w:hAnsi="Verdana"/>
          <w:sz w:val="20"/>
          <w:szCs w:val="20"/>
        </w:rPr>
        <w:t xml:space="preserve">, </w:t>
      </w:r>
      <w:proofErr w:type="spellStart"/>
      <w:r w:rsidR="008A2C8C">
        <w:rPr>
          <w:rFonts w:ascii="Verdana" w:hAnsi="Verdana"/>
          <w:sz w:val="20"/>
          <w:szCs w:val="20"/>
        </w:rPr>
        <w:t>alemtuzumab</w:t>
      </w:r>
      <w:proofErr w:type="spellEnd"/>
      <w:r w:rsidR="008A2C8C">
        <w:rPr>
          <w:rFonts w:ascii="Verdana" w:hAnsi="Verdana"/>
          <w:sz w:val="20"/>
          <w:szCs w:val="20"/>
        </w:rPr>
        <w:t xml:space="preserve"> en </w:t>
      </w:r>
      <w:proofErr w:type="spellStart"/>
      <w:r w:rsidR="008A2C8C">
        <w:rPr>
          <w:rFonts w:ascii="Verdana" w:hAnsi="Verdana"/>
          <w:sz w:val="20"/>
          <w:szCs w:val="20"/>
        </w:rPr>
        <w:t>ocrelizumab</w:t>
      </w:r>
      <w:proofErr w:type="spellEnd"/>
      <w:r>
        <w:rPr>
          <w:rFonts w:ascii="Verdana" w:hAnsi="Verdana"/>
          <w:sz w:val="20"/>
          <w:szCs w:val="20"/>
        </w:rPr>
        <w:t xml:space="preserve">, heeft het voorkeur minimaal 2 weken vóór start ervan te vaccineren voor het bereiken van betere effectiviteit. Dan is in elk geval de essentiële eerste dosis zonder </w:t>
      </w:r>
      <w:proofErr w:type="spellStart"/>
      <w:r>
        <w:rPr>
          <w:rFonts w:ascii="Verdana" w:hAnsi="Verdana"/>
          <w:sz w:val="20"/>
          <w:szCs w:val="20"/>
        </w:rPr>
        <w:t>immuunsuppressiva</w:t>
      </w:r>
      <w:proofErr w:type="spellEnd"/>
      <w:r>
        <w:rPr>
          <w:rFonts w:ascii="Verdana" w:hAnsi="Verdana"/>
          <w:sz w:val="20"/>
          <w:szCs w:val="20"/>
        </w:rPr>
        <w:t xml:space="preserve"> toegediend. Bij voorkeur wordt langer gewacht, zodat ook de tweede dosis kan worden gegeven vóór start (</w:t>
      </w:r>
      <w:r w:rsidR="007B3F41">
        <w:rPr>
          <w:rFonts w:ascii="Verdana" w:hAnsi="Verdana"/>
          <w:sz w:val="20"/>
          <w:szCs w:val="20"/>
        </w:rPr>
        <w:t xml:space="preserve">minimaal </w:t>
      </w:r>
      <w:r>
        <w:rPr>
          <w:rFonts w:ascii="Verdana" w:hAnsi="Verdana"/>
          <w:sz w:val="20"/>
          <w:szCs w:val="20"/>
        </w:rPr>
        <w:t>4 weken</w:t>
      </w:r>
      <w:r w:rsidR="007B3F41">
        <w:rPr>
          <w:rFonts w:ascii="Verdana" w:hAnsi="Verdana"/>
          <w:sz w:val="20"/>
          <w:szCs w:val="20"/>
        </w:rPr>
        <w:t xml:space="preserve"> voor start</w:t>
      </w:r>
      <w:r>
        <w:rPr>
          <w:rFonts w:ascii="Verdana" w:hAnsi="Verdana"/>
          <w:sz w:val="20"/>
          <w:szCs w:val="20"/>
        </w:rPr>
        <w:t xml:space="preserve">), maar dit zal in praktijk vaak niet mogelijk zijn. </w:t>
      </w:r>
      <w:r w:rsidR="008A2C8C">
        <w:rPr>
          <w:rFonts w:ascii="Verdana" w:hAnsi="Verdana"/>
          <w:sz w:val="20"/>
          <w:szCs w:val="20"/>
        </w:rPr>
        <w:t xml:space="preserve">Bij de andere </w:t>
      </w:r>
      <w:proofErr w:type="spellStart"/>
      <w:r w:rsidR="008A2C8C">
        <w:rPr>
          <w:rFonts w:ascii="Verdana" w:hAnsi="Verdana"/>
          <w:sz w:val="20"/>
          <w:szCs w:val="20"/>
        </w:rPr>
        <w:t>ziektemodulerende</w:t>
      </w:r>
      <w:proofErr w:type="spellEnd"/>
      <w:r w:rsidR="008A2C8C">
        <w:rPr>
          <w:rFonts w:ascii="Verdana" w:hAnsi="Verdana"/>
          <w:sz w:val="20"/>
          <w:szCs w:val="20"/>
        </w:rPr>
        <w:t xml:space="preserve"> therapieën kan ongeacht de vaccinatiestatus gestart worden met de behandeling. </w:t>
      </w:r>
    </w:p>
    <w:p w14:paraId="4A81C56B" w14:textId="0D56E3B1" w:rsidR="001E3EA1" w:rsidRPr="007934F7" w:rsidRDefault="0011514B" w:rsidP="00AF3779">
      <w:pPr>
        <w:spacing w:line="240" w:lineRule="auto"/>
        <w:rPr>
          <w:rFonts w:ascii="Verdana" w:hAnsi="Verdana"/>
          <w:b/>
          <w:sz w:val="20"/>
          <w:szCs w:val="20"/>
        </w:rPr>
      </w:pPr>
      <w:r w:rsidRPr="007934F7">
        <w:rPr>
          <w:rFonts w:ascii="Verdana" w:hAnsi="Verdana"/>
          <w:b/>
          <w:sz w:val="20"/>
          <w:szCs w:val="20"/>
        </w:rPr>
        <w:t xml:space="preserve">Interval </w:t>
      </w:r>
      <w:r w:rsidR="008F58DD" w:rsidRPr="007934F7">
        <w:rPr>
          <w:rFonts w:ascii="Verdana" w:hAnsi="Verdana"/>
          <w:b/>
          <w:sz w:val="20"/>
          <w:szCs w:val="20"/>
        </w:rPr>
        <w:t xml:space="preserve">tussen Influenza en </w:t>
      </w:r>
      <w:proofErr w:type="gramStart"/>
      <w:r w:rsidR="008F58DD" w:rsidRPr="007934F7">
        <w:rPr>
          <w:rFonts w:ascii="Verdana" w:hAnsi="Verdana"/>
          <w:b/>
          <w:sz w:val="20"/>
          <w:szCs w:val="20"/>
        </w:rPr>
        <w:t>COVID vaccinatie</w:t>
      </w:r>
      <w:proofErr w:type="gramEnd"/>
    </w:p>
    <w:p w14:paraId="15968FE2" w14:textId="1DB103FC" w:rsidR="008F58DD" w:rsidRPr="007934F7" w:rsidRDefault="00C951A5" w:rsidP="00AF37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advies is om</w:t>
      </w:r>
      <w:r w:rsidR="008F58DD" w:rsidRPr="007934F7">
        <w:rPr>
          <w:rFonts w:ascii="Verdana" w:hAnsi="Verdana"/>
          <w:sz w:val="20"/>
          <w:szCs w:val="20"/>
        </w:rPr>
        <w:t xml:space="preserve"> een interval van minimaal 7 dagen aan te houden tussen COVID</w:t>
      </w:r>
      <w:r w:rsidR="00CA2B27">
        <w:rPr>
          <w:rFonts w:ascii="Verdana" w:hAnsi="Verdana"/>
          <w:sz w:val="20"/>
          <w:szCs w:val="20"/>
        </w:rPr>
        <w:t>-</w:t>
      </w:r>
      <w:r w:rsidR="008F58DD" w:rsidRPr="007934F7">
        <w:rPr>
          <w:rFonts w:ascii="Verdana" w:hAnsi="Verdana"/>
          <w:sz w:val="20"/>
          <w:szCs w:val="20"/>
        </w:rPr>
        <w:t xml:space="preserve"> en influenzavaccinatie</w:t>
      </w:r>
      <w:r w:rsidR="00613ADA">
        <w:rPr>
          <w:rFonts w:ascii="Verdana" w:hAnsi="Verdana"/>
          <w:sz w:val="20"/>
          <w:szCs w:val="20"/>
        </w:rPr>
        <w:t>.</w:t>
      </w:r>
    </w:p>
    <w:p w14:paraId="6F7F7787" w14:textId="6CB9F5AB" w:rsidR="006A00BB" w:rsidRPr="007934F7" w:rsidRDefault="00C951A5" w:rsidP="00AF377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ACHTERGRONDEN BIJ</w:t>
      </w:r>
      <w:r w:rsidR="006A00BB" w:rsidRPr="007934F7">
        <w:rPr>
          <w:rFonts w:ascii="Verdana" w:hAnsi="Verdana"/>
          <w:sz w:val="20"/>
          <w:szCs w:val="20"/>
        </w:rPr>
        <w:t xml:space="preserve"> DE ADVIEZEN</w:t>
      </w:r>
    </w:p>
    <w:p w14:paraId="1E414850" w14:textId="2AF292BF" w:rsidR="008F58DD" w:rsidRPr="00821003" w:rsidRDefault="00CA2B27" w:rsidP="006A00B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6A00BB" w:rsidRPr="007934F7">
        <w:rPr>
          <w:rFonts w:ascii="Verdana" w:hAnsi="Verdana"/>
          <w:sz w:val="20"/>
          <w:szCs w:val="20"/>
        </w:rPr>
        <w:t xml:space="preserve">ensen met MS kunnen zich gewoon laten vaccineren. Alleen levend verzwakte vaccins kunnen niet gegeven worden aan mensen die </w:t>
      </w:r>
      <w:proofErr w:type="spellStart"/>
      <w:r w:rsidR="006A00BB" w:rsidRPr="007934F7">
        <w:rPr>
          <w:rFonts w:ascii="Verdana" w:hAnsi="Verdana"/>
          <w:sz w:val="20"/>
          <w:szCs w:val="20"/>
        </w:rPr>
        <w:t>ziektemodulerende</w:t>
      </w:r>
      <w:proofErr w:type="spellEnd"/>
      <w:r w:rsidR="006A00BB" w:rsidRPr="007934F7">
        <w:rPr>
          <w:rFonts w:ascii="Verdana" w:hAnsi="Verdana"/>
          <w:sz w:val="20"/>
          <w:szCs w:val="20"/>
        </w:rPr>
        <w:t xml:space="preserve"> behandeling krijgen. Bij </w:t>
      </w:r>
      <w:proofErr w:type="spellStart"/>
      <w:r w:rsidR="006A00BB" w:rsidRPr="007934F7">
        <w:rPr>
          <w:rFonts w:ascii="Verdana" w:hAnsi="Verdana"/>
          <w:sz w:val="20"/>
          <w:szCs w:val="20"/>
        </w:rPr>
        <w:t>ocrelizumab</w:t>
      </w:r>
      <w:proofErr w:type="spellEnd"/>
      <w:r w:rsidR="006A00BB" w:rsidRPr="007934F7">
        <w:rPr>
          <w:rFonts w:ascii="Verdana" w:hAnsi="Verdana"/>
          <w:sz w:val="20"/>
          <w:szCs w:val="20"/>
        </w:rPr>
        <w:t xml:space="preserve"> en </w:t>
      </w:r>
      <w:proofErr w:type="spellStart"/>
      <w:r w:rsidR="006A00BB" w:rsidRPr="007934F7">
        <w:rPr>
          <w:rFonts w:ascii="Verdana" w:hAnsi="Verdana"/>
          <w:sz w:val="20"/>
          <w:szCs w:val="20"/>
        </w:rPr>
        <w:t>fingolimod</w:t>
      </w:r>
      <w:proofErr w:type="spellEnd"/>
      <w:r w:rsidR="006A00BB" w:rsidRPr="007934F7">
        <w:rPr>
          <w:rFonts w:ascii="Verdana" w:hAnsi="Verdana"/>
          <w:sz w:val="20"/>
          <w:szCs w:val="20"/>
        </w:rPr>
        <w:t xml:space="preserve"> </w:t>
      </w:r>
      <w:r w:rsidR="009747C5" w:rsidRPr="007934F7">
        <w:rPr>
          <w:rFonts w:ascii="Verdana" w:hAnsi="Verdana"/>
          <w:sz w:val="20"/>
          <w:szCs w:val="20"/>
        </w:rPr>
        <w:t>zijn er studies verschenen waaruit blijkt dat vaccin</w:t>
      </w:r>
      <w:r w:rsidR="00797477" w:rsidRPr="007934F7">
        <w:rPr>
          <w:rFonts w:ascii="Verdana" w:hAnsi="Verdana"/>
          <w:sz w:val="20"/>
          <w:szCs w:val="20"/>
        </w:rPr>
        <w:t>s</w:t>
      </w:r>
      <w:r w:rsidR="009747C5" w:rsidRPr="007934F7">
        <w:rPr>
          <w:rFonts w:ascii="Verdana" w:hAnsi="Verdana"/>
          <w:sz w:val="20"/>
          <w:szCs w:val="20"/>
        </w:rPr>
        <w:t xml:space="preserve"> </w:t>
      </w:r>
      <w:r w:rsidR="00817A78" w:rsidRPr="007934F7">
        <w:rPr>
          <w:rFonts w:ascii="Verdana" w:hAnsi="Verdana"/>
          <w:sz w:val="20"/>
          <w:szCs w:val="20"/>
        </w:rPr>
        <w:t>in het algemeen ver</w:t>
      </w:r>
      <w:r w:rsidR="009747C5" w:rsidRPr="007934F7">
        <w:rPr>
          <w:rFonts w:ascii="Verdana" w:hAnsi="Verdana"/>
          <w:sz w:val="20"/>
          <w:szCs w:val="20"/>
        </w:rPr>
        <w:t>minder</w:t>
      </w:r>
      <w:r w:rsidR="00817A78" w:rsidRPr="007934F7">
        <w:rPr>
          <w:rFonts w:ascii="Verdana" w:hAnsi="Verdana"/>
          <w:sz w:val="20"/>
          <w:szCs w:val="20"/>
        </w:rPr>
        <w:t>d</w:t>
      </w:r>
      <w:r w:rsidR="009747C5" w:rsidRPr="007934F7">
        <w:rPr>
          <w:rFonts w:ascii="Verdana" w:hAnsi="Verdana"/>
          <w:sz w:val="20"/>
          <w:szCs w:val="20"/>
        </w:rPr>
        <w:t xml:space="preserve"> effectief k</w:t>
      </w:r>
      <w:r w:rsidR="00797477" w:rsidRPr="007934F7">
        <w:rPr>
          <w:rFonts w:ascii="Verdana" w:hAnsi="Verdana"/>
          <w:sz w:val="20"/>
          <w:szCs w:val="20"/>
        </w:rPr>
        <w:t>unnen</w:t>
      </w:r>
      <w:r w:rsidR="009747C5" w:rsidRPr="007934F7">
        <w:rPr>
          <w:rFonts w:ascii="Verdana" w:hAnsi="Verdana"/>
          <w:sz w:val="20"/>
          <w:szCs w:val="20"/>
        </w:rPr>
        <w:t xml:space="preserve"> zijn.</w:t>
      </w:r>
      <w:r w:rsidR="00DE55DD" w:rsidRPr="007934F7">
        <w:rPr>
          <w:rFonts w:ascii="Verdana" w:hAnsi="Verdana"/>
          <w:sz w:val="20"/>
          <w:szCs w:val="20"/>
        </w:rPr>
        <w:t xml:space="preserve"> Gezien het </w:t>
      </w:r>
      <w:r w:rsidR="00DE55DD" w:rsidRPr="00821003">
        <w:rPr>
          <w:rFonts w:ascii="Verdana" w:hAnsi="Verdana"/>
          <w:sz w:val="20"/>
          <w:szCs w:val="20"/>
        </w:rPr>
        <w:t xml:space="preserve">werkingsmechanisme van </w:t>
      </w:r>
      <w:proofErr w:type="spellStart"/>
      <w:r w:rsidR="00DE55DD" w:rsidRPr="00821003">
        <w:rPr>
          <w:rFonts w:ascii="Verdana" w:hAnsi="Verdana"/>
          <w:sz w:val="20"/>
          <w:szCs w:val="20"/>
        </w:rPr>
        <w:t>alemtuzumab</w:t>
      </w:r>
      <w:proofErr w:type="spellEnd"/>
      <w:r w:rsidR="00DE55DD" w:rsidRPr="00821003">
        <w:rPr>
          <w:rFonts w:ascii="Verdana" w:hAnsi="Verdana"/>
          <w:sz w:val="20"/>
          <w:szCs w:val="20"/>
        </w:rPr>
        <w:t xml:space="preserve"> en </w:t>
      </w:r>
      <w:proofErr w:type="spellStart"/>
      <w:r w:rsidR="00DE55DD" w:rsidRPr="00821003">
        <w:rPr>
          <w:rFonts w:ascii="Verdana" w:hAnsi="Verdana"/>
          <w:sz w:val="20"/>
          <w:szCs w:val="20"/>
        </w:rPr>
        <w:t>cladribine</w:t>
      </w:r>
      <w:proofErr w:type="spellEnd"/>
      <w:r w:rsidR="00DE55DD" w:rsidRPr="00821003">
        <w:rPr>
          <w:rFonts w:ascii="Verdana" w:hAnsi="Verdana"/>
          <w:sz w:val="20"/>
          <w:szCs w:val="20"/>
        </w:rPr>
        <w:t xml:space="preserve"> ligt het voor de hand dat dit vlak na toediening van een kuur ook voor deze medicijnen zal gelden</w:t>
      </w:r>
      <w:r w:rsidR="00C951A5" w:rsidRPr="00821003">
        <w:rPr>
          <w:rFonts w:ascii="Verdana" w:hAnsi="Verdana"/>
          <w:sz w:val="20"/>
          <w:szCs w:val="20"/>
        </w:rPr>
        <w:t>.</w:t>
      </w:r>
      <w:r w:rsidR="008F58DD" w:rsidRPr="00821003">
        <w:rPr>
          <w:rFonts w:ascii="Verdana" w:hAnsi="Verdana"/>
          <w:sz w:val="20"/>
          <w:szCs w:val="20"/>
        </w:rPr>
        <w:t xml:space="preserve"> </w:t>
      </w:r>
    </w:p>
    <w:p w14:paraId="599A7E54" w14:textId="36F465B4" w:rsidR="00821003" w:rsidRPr="00456721" w:rsidRDefault="009747C5" w:rsidP="00456721">
      <w:pPr>
        <w:rPr>
          <w:rFonts w:ascii="Verdana" w:hAnsi="Verdana"/>
          <w:sz w:val="20"/>
          <w:szCs w:val="20"/>
        </w:rPr>
      </w:pPr>
      <w:r w:rsidRPr="00821003">
        <w:rPr>
          <w:rFonts w:ascii="Verdana" w:hAnsi="Verdana"/>
          <w:sz w:val="20"/>
          <w:szCs w:val="20"/>
        </w:rPr>
        <w:t>COVID19 vaccinaties: in Europa zijn het Pfizer</w:t>
      </w:r>
      <w:r w:rsidR="00BF1CF1" w:rsidRPr="00821003">
        <w:rPr>
          <w:rFonts w:ascii="Verdana" w:hAnsi="Verdana"/>
          <w:sz w:val="20"/>
          <w:szCs w:val="20"/>
        </w:rPr>
        <w:t>-</w:t>
      </w:r>
      <w:r w:rsidR="00DF46D9" w:rsidRPr="00821003">
        <w:rPr>
          <w:rFonts w:ascii="Verdana" w:hAnsi="Verdana"/>
          <w:sz w:val="20"/>
          <w:szCs w:val="20"/>
        </w:rPr>
        <w:t xml:space="preserve">, </w:t>
      </w:r>
      <w:proofErr w:type="spellStart"/>
      <w:r w:rsidRPr="00821003">
        <w:rPr>
          <w:rFonts w:ascii="Verdana" w:hAnsi="Verdana"/>
          <w:sz w:val="20"/>
          <w:szCs w:val="20"/>
        </w:rPr>
        <w:t>Moderna</w:t>
      </w:r>
      <w:proofErr w:type="spellEnd"/>
      <w:r w:rsidR="00DF46D9" w:rsidRPr="00821003">
        <w:rPr>
          <w:rFonts w:ascii="Verdana" w:hAnsi="Verdana"/>
          <w:sz w:val="20"/>
          <w:szCs w:val="20"/>
        </w:rPr>
        <w:t>-</w:t>
      </w:r>
      <w:r w:rsidR="00167D2F">
        <w:rPr>
          <w:rFonts w:ascii="Verdana" w:hAnsi="Verdana"/>
          <w:sz w:val="20"/>
          <w:szCs w:val="20"/>
        </w:rPr>
        <w:t>,</w:t>
      </w:r>
      <w:r w:rsidR="00DF46D9" w:rsidRPr="00821003">
        <w:rPr>
          <w:rFonts w:ascii="Verdana" w:hAnsi="Verdana"/>
          <w:sz w:val="20"/>
          <w:szCs w:val="20"/>
        </w:rPr>
        <w:t xml:space="preserve"> </w:t>
      </w:r>
      <w:proofErr w:type="spellStart"/>
      <w:r w:rsidR="00DF46D9" w:rsidRPr="00821003">
        <w:rPr>
          <w:rFonts w:ascii="Verdana" w:hAnsi="Verdana"/>
          <w:sz w:val="20"/>
          <w:szCs w:val="20"/>
        </w:rPr>
        <w:t>AstraZeneca</w:t>
      </w:r>
      <w:proofErr w:type="spellEnd"/>
      <w:r w:rsidR="00BF1CF1" w:rsidRPr="00821003">
        <w:rPr>
          <w:rFonts w:ascii="Verdana" w:hAnsi="Verdana"/>
          <w:sz w:val="20"/>
          <w:szCs w:val="20"/>
        </w:rPr>
        <w:t>-</w:t>
      </w:r>
      <w:r w:rsidR="00167D2F">
        <w:rPr>
          <w:rFonts w:ascii="Verdana" w:hAnsi="Verdana"/>
          <w:sz w:val="20"/>
          <w:szCs w:val="20"/>
        </w:rPr>
        <w:t xml:space="preserve"> en </w:t>
      </w:r>
      <w:proofErr w:type="spellStart"/>
      <w:r w:rsidR="00167D2F">
        <w:rPr>
          <w:rFonts w:ascii="Verdana" w:hAnsi="Verdana"/>
          <w:sz w:val="20"/>
          <w:szCs w:val="20"/>
        </w:rPr>
        <w:t>Johnson&amp;Johnson-</w:t>
      </w:r>
      <w:r w:rsidRPr="00821003">
        <w:rPr>
          <w:rFonts w:ascii="Verdana" w:hAnsi="Verdana"/>
          <w:sz w:val="20"/>
          <w:szCs w:val="20"/>
        </w:rPr>
        <w:t>vaccin</w:t>
      </w:r>
      <w:proofErr w:type="spellEnd"/>
      <w:r w:rsidRPr="00821003">
        <w:rPr>
          <w:rFonts w:ascii="Verdana" w:hAnsi="Verdana"/>
          <w:sz w:val="20"/>
          <w:szCs w:val="20"/>
        </w:rPr>
        <w:t xml:space="preserve"> goedgekeurd. </w:t>
      </w:r>
      <w:r w:rsidR="00DF46D9" w:rsidRPr="00821003">
        <w:rPr>
          <w:rFonts w:ascii="Verdana" w:hAnsi="Verdana"/>
          <w:sz w:val="20"/>
          <w:szCs w:val="20"/>
        </w:rPr>
        <w:t xml:space="preserve">Pfizer- en </w:t>
      </w:r>
      <w:proofErr w:type="spellStart"/>
      <w:r w:rsidR="00DF46D9" w:rsidRPr="00821003">
        <w:rPr>
          <w:rFonts w:ascii="Verdana" w:hAnsi="Verdana"/>
          <w:sz w:val="20"/>
          <w:szCs w:val="20"/>
        </w:rPr>
        <w:t>Moderna</w:t>
      </w:r>
      <w:proofErr w:type="spellEnd"/>
      <w:r w:rsidR="00DF46D9" w:rsidRPr="00821003">
        <w:rPr>
          <w:rFonts w:ascii="Verdana" w:hAnsi="Verdana"/>
          <w:sz w:val="20"/>
          <w:szCs w:val="20"/>
        </w:rPr>
        <w:t xml:space="preserve">-vaccin </w:t>
      </w:r>
      <w:r w:rsidRPr="00900493">
        <w:rPr>
          <w:rFonts w:ascii="Verdana" w:hAnsi="Verdana"/>
          <w:sz w:val="20"/>
          <w:szCs w:val="20"/>
        </w:rPr>
        <w:t>betreffe</w:t>
      </w:r>
      <w:r w:rsidRPr="00821003">
        <w:rPr>
          <w:rFonts w:ascii="Verdana" w:hAnsi="Verdana"/>
          <w:sz w:val="20"/>
          <w:szCs w:val="20"/>
        </w:rPr>
        <w:t xml:space="preserve">n mRNA vaccins, hetgeen een nieuw soort vaccins zijn. </w:t>
      </w:r>
      <w:r w:rsidR="00AC7412" w:rsidRPr="00821003">
        <w:rPr>
          <w:rFonts w:ascii="Verdana" w:hAnsi="Verdana"/>
          <w:sz w:val="20"/>
          <w:szCs w:val="20"/>
        </w:rPr>
        <w:t>De vaccinatie bestaat uit een tweetal injecties met een drie (Pfizer) of vier (</w:t>
      </w:r>
      <w:proofErr w:type="spellStart"/>
      <w:r w:rsidR="00AC7412" w:rsidRPr="00821003">
        <w:rPr>
          <w:rFonts w:ascii="Verdana" w:hAnsi="Verdana"/>
          <w:sz w:val="20"/>
          <w:szCs w:val="20"/>
        </w:rPr>
        <w:t>Moderna</w:t>
      </w:r>
      <w:proofErr w:type="spellEnd"/>
      <w:r w:rsidR="00AC7412" w:rsidRPr="00821003">
        <w:rPr>
          <w:rFonts w:ascii="Verdana" w:hAnsi="Verdana"/>
          <w:sz w:val="20"/>
          <w:szCs w:val="20"/>
        </w:rPr>
        <w:t xml:space="preserve">) weken interval. Immunisatie treedt op na ongeveer 4 weken. </w:t>
      </w:r>
      <w:r w:rsidR="00DF46D9" w:rsidRPr="00821003">
        <w:rPr>
          <w:rFonts w:ascii="Verdana" w:hAnsi="Verdana"/>
          <w:sz w:val="20"/>
          <w:szCs w:val="20"/>
        </w:rPr>
        <w:t xml:space="preserve">Bij </w:t>
      </w:r>
      <w:proofErr w:type="gramStart"/>
      <w:r w:rsidR="00DF46D9" w:rsidRPr="00821003">
        <w:rPr>
          <w:rFonts w:ascii="Verdana" w:hAnsi="Verdana"/>
          <w:sz w:val="20"/>
          <w:szCs w:val="20"/>
        </w:rPr>
        <w:t xml:space="preserve">het </w:t>
      </w:r>
      <w:r w:rsidRPr="00821003">
        <w:rPr>
          <w:rFonts w:ascii="Verdana" w:hAnsi="Verdana"/>
          <w:sz w:val="20"/>
          <w:szCs w:val="20"/>
        </w:rPr>
        <w:t xml:space="preserve"> </w:t>
      </w:r>
      <w:proofErr w:type="spellStart"/>
      <w:r w:rsidRPr="00821003">
        <w:rPr>
          <w:rFonts w:ascii="Verdana" w:hAnsi="Verdana"/>
          <w:sz w:val="20"/>
          <w:szCs w:val="20"/>
        </w:rPr>
        <w:t>Astra</w:t>
      </w:r>
      <w:r w:rsidR="00BF1CF1" w:rsidRPr="00821003">
        <w:rPr>
          <w:rFonts w:ascii="Verdana" w:hAnsi="Verdana"/>
          <w:sz w:val="20"/>
          <w:szCs w:val="20"/>
        </w:rPr>
        <w:t>Z</w:t>
      </w:r>
      <w:r w:rsidRPr="00821003">
        <w:rPr>
          <w:rFonts w:ascii="Verdana" w:hAnsi="Verdana"/>
          <w:sz w:val="20"/>
          <w:szCs w:val="20"/>
        </w:rPr>
        <w:t>eneca</w:t>
      </w:r>
      <w:proofErr w:type="spellEnd"/>
      <w:proofErr w:type="gramEnd"/>
      <w:r w:rsidR="00BF1CF1" w:rsidRPr="00821003">
        <w:rPr>
          <w:rFonts w:ascii="Verdana" w:hAnsi="Verdana"/>
          <w:sz w:val="20"/>
          <w:szCs w:val="20"/>
        </w:rPr>
        <w:t>-</w:t>
      </w:r>
      <w:r w:rsidR="00656903">
        <w:rPr>
          <w:rFonts w:ascii="Verdana" w:hAnsi="Verdana"/>
          <w:sz w:val="20"/>
          <w:szCs w:val="20"/>
        </w:rPr>
        <w:t xml:space="preserve"> en </w:t>
      </w:r>
      <w:proofErr w:type="spellStart"/>
      <w:r w:rsidR="00656903">
        <w:rPr>
          <w:rFonts w:ascii="Verdana" w:hAnsi="Verdana"/>
          <w:sz w:val="20"/>
          <w:szCs w:val="20"/>
        </w:rPr>
        <w:t>Johnson&amp;Johnson</w:t>
      </w:r>
      <w:proofErr w:type="spellEnd"/>
      <w:r w:rsidR="00656903">
        <w:rPr>
          <w:rFonts w:ascii="Verdana" w:hAnsi="Verdana"/>
          <w:sz w:val="20"/>
          <w:szCs w:val="20"/>
        </w:rPr>
        <w:t xml:space="preserve"> </w:t>
      </w:r>
      <w:r w:rsidRPr="00821003">
        <w:rPr>
          <w:rFonts w:ascii="Verdana" w:hAnsi="Verdana"/>
          <w:sz w:val="20"/>
          <w:szCs w:val="20"/>
        </w:rPr>
        <w:t xml:space="preserve">vaccin </w:t>
      </w:r>
      <w:r w:rsidR="007B3F41">
        <w:rPr>
          <w:rFonts w:ascii="Verdana" w:hAnsi="Verdana"/>
          <w:sz w:val="20"/>
          <w:szCs w:val="20"/>
        </w:rPr>
        <w:t xml:space="preserve">is er sprake van een </w:t>
      </w:r>
      <w:r w:rsidR="007B3F41" w:rsidRPr="003903CA">
        <w:rPr>
          <w:rFonts w:ascii="Verdana" w:hAnsi="Verdana"/>
          <w:sz w:val="20"/>
          <w:szCs w:val="20"/>
        </w:rPr>
        <w:t>non-</w:t>
      </w:r>
      <w:proofErr w:type="spellStart"/>
      <w:r w:rsidR="007B3F41" w:rsidRPr="003903CA">
        <w:rPr>
          <w:rFonts w:ascii="Verdana" w:hAnsi="Verdana"/>
          <w:sz w:val="20"/>
          <w:szCs w:val="20"/>
        </w:rPr>
        <w:t>replicating</w:t>
      </w:r>
      <w:proofErr w:type="spellEnd"/>
      <w:r w:rsidR="007B3F41" w:rsidRPr="003903CA">
        <w:rPr>
          <w:rFonts w:ascii="Verdana" w:hAnsi="Verdana"/>
          <w:sz w:val="20"/>
          <w:szCs w:val="20"/>
        </w:rPr>
        <w:t xml:space="preserve"> </w:t>
      </w:r>
      <w:proofErr w:type="spellStart"/>
      <w:r w:rsidR="007B3F41" w:rsidRPr="003903CA">
        <w:rPr>
          <w:rFonts w:ascii="Verdana" w:hAnsi="Verdana"/>
          <w:sz w:val="20"/>
          <w:szCs w:val="20"/>
        </w:rPr>
        <w:t>viral</w:t>
      </w:r>
      <w:proofErr w:type="spellEnd"/>
      <w:r w:rsidR="007B3F41" w:rsidRPr="003903CA">
        <w:rPr>
          <w:rFonts w:ascii="Verdana" w:hAnsi="Verdana"/>
          <w:sz w:val="20"/>
          <w:szCs w:val="20"/>
        </w:rPr>
        <w:t xml:space="preserve"> vector vaccine. De genetische code van het coronavirus wordt gestopt in een </w:t>
      </w:r>
      <w:r w:rsidR="000A5FF3" w:rsidRPr="003903CA">
        <w:rPr>
          <w:rFonts w:ascii="Verdana" w:hAnsi="Verdana"/>
          <w:sz w:val="20"/>
          <w:szCs w:val="20"/>
        </w:rPr>
        <w:t xml:space="preserve">aangepast </w:t>
      </w:r>
      <w:proofErr w:type="spellStart"/>
      <w:r w:rsidR="007B3F41" w:rsidRPr="003903CA">
        <w:rPr>
          <w:rFonts w:ascii="Verdana" w:hAnsi="Verdana"/>
          <w:sz w:val="20"/>
          <w:szCs w:val="20"/>
        </w:rPr>
        <w:t>adenovirus</w:t>
      </w:r>
      <w:proofErr w:type="spellEnd"/>
      <w:r w:rsidR="000A5FF3" w:rsidRPr="003903CA">
        <w:rPr>
          <w:rFonts w:ascii="Verdana" w:hAnsi="Verdana"/>
          <w:sz w:val="20"/>
          <w:szCs w:val="20"/>
        </w:rPr>
        <w:t>, welke zichzelf niet kan repliceren</w:t>
      </w:r>
      <w:r w:rsidR="007B3F41" w:rsidRPr="003903CA">
        <w:rPr>
          <w:rFonts w:ascii="Verdana" w:hAnsi="Verdana"/>
          <w:sz w:val="20"/>
          <w:szCs w:val="20"/>
        </w:rPr>
        <w:t>.</w:t>
      </w:r>
      <w:r w:rsidR="000A5FF3" w:rsidRPr="003903CA">
        <w:rPr>
          <w:rFonts w:ascii="Verdana" w:hAnsi="Verdana"/>
          <w:sz w:val="20"/>
          <w:szCs w:val="20"/>
        </w:rPr>
        <w:t xml:space="preserve"> Het </w:t>
      </w:r>
      <w:proofErr w:type="spellStart"/>
      <w:r w:rsidR="00656903">
        <w:rPr>
          <w:rFonts w:ascii="Verdana" w:hAnsi="Verdana"/>
          <w:sz w:val="20"/>
          <w:szCs w:val="20"/>
        </w:rPr>
        <w:t>AstraZeneca</w:t>
      </w:r>
      <w:proofErr w:type="spellEnd"/>
      <w:r w:rsidR="00656903">
        <w:rPr>
          <w:rFonts w:ascii="Verdana" w:hAnsi="Verdana"/>
          <w:sz w:val="20"/>
          <w:szCs w:val="20"/>
        </w:rPr>
        <w:t xml:space="preserve"> vaccin </w:t>
      </w:r>
      <w:r w:rsidR="000A5FF3" w:rsidRPr="003903CA">
        <w:rPr>
          <w:rFonts w:ascii="Verdana" w:hAnsi="Verdana"/>
          <w:sz w:val="20"/>
          <w:szCs w:val="20"/>
        </w:rPr>
        <w:t>bestaat uit een tweetal injecties, bij voorkeur met een 4 weken interval.</w:t>
      </w:r>
      <w:r w:rsidR="00C21631" w:rsidRPr="003903CA">
        <w:rPr>
          <w:rFonts w:ascii="Verdana" w:hAnsi="Verdana"/>
          <w:sz w:val="20"/>
          <w:szCs w:val="20"/>
        </w:rPr>
        <w:t xml:space="preserve"> </w:t>
      </w:r>
      <w:r w:rsidR="00656903">
        <w:rPr>
          <w:rFonts w:ascii="Verdana" w:hAnsi="Verdana"/>
          <w:sz w:val="20"/>
          <w:szCs w:val="20"/>
        </w:rPr>
        <w:t xml:space="preserve">Het </w:t>
      </w:r>
      <w:proofErr w:type="spellStart"/>
      <w:r w:rsidR="00656903">
        <w:rPr>
          <w:rFonts w:ascii="Verdana" w:hAnsi="Verdana"/>
          <w:sz w:val="20"/>
          <w:szCs w:val="20"/>
        </w:rPr>
        <w:t>Jonson&amp;Johnson</w:t>
      </w:r>
      <w:proofErr w:type="spellEnd"/>
      <w:r w:rsidR="00656903">
        <w:rPr>
          <w:rFonts w:ascii="Verdana" w:hAnsi="Verdana"/>
          <w:sz w:val="20"/>
          <w:szCs w:val="20"/>
        </w:rPr>
        <w:t xml:space="preserve"> vaccin bestaat uit een eenmalige injectie. </w:t>
      </w:r>
      <w:r w:rsidR="00C21631" w:rsidRPr="00821003">
        <w:rPr>
          <w:rFonts w:ascii="Verdana" w:hAnsi="Verdana"/>
          <w:sz w:val="20"/>
          <w:szCs w:val="20"/>
        </w:rPr>
        <w:t xml:space="preserve">Tijdens de studies met het </w:t>
      </w:r>
      <w:proofErr w:type="spellStart"/>
      <w:r w:rsidR="00C21631" w:rsidRPr="00821003">
        <w:rPr>
          <w:rFonts w:ascii="Verdana" w:hAnsi="Verdana"/>
          <w:sz w:val="20"/>
          <w:szCs w:val="20"/>
        </w:rPr>
        <w:t>AstraZeneca</w:t>
      </w:r>
      <w:proofErr w:type="spellEnd"/>
      <w:r w:rsidR="00C21631" w:rsidRPr="00821003">
        <w:rPr>
          <w:rFonts w:ascii="Verdana" w:hAnsi="Verdana"/>
          <w:sz w:val="20"/>
          <w:szCs w:val="20"/>
        </w:rPr>
        <w:t>-vaccin (</w:t>
      </w:r>
      <w:proofErr w:type="spellStart"/>
      <w:r w:rsidR="00C21631" w:rsidRPr="00821003">
        <w:rPr>
          <w:rFonts w:ascii="Verdana" w:hAnsi="Verdana"/>
          <w:sz w:val="20"/>
          <w:szCs w:val="20"/>
        </w:rPr>
        <w:t>Voysey</w:t>
      </w:r>
      <w:proofErr w:type="spellEnd"/>
      <w:r w:rsidR="00C21631" w:rsidRPr="00821003">
        <w:rPr>
          <w:rFonts w:ascii="Verdana" w:hAnsi="Verdana"/>
          <w:sz w:val="20"/>
          <w:szCs w:val="20"/>
        </w:rPr>
        <w:t xml:space="preserve"> et al) zijn in de onderzochte populatie</w:t>
      </w:r>
      <w:r w:rsidR="00C21631" w:rsidRPr="00900493">
        <w:rPr>
          <w:rFonts w:ascii="Verdana" w:hAnsi="Verdana"/>
          <w:sz w:val="20"/>
          <w:szCs w:val="20"/>
        </w:rPr>
        <w:t xml:space="preserve"> (</w:t>
      </w:r>
      <w:r w:rsidR="00C21631" w:rsidRPr="00821003">
        <w:rPr>
          <w:rFonts w:ascii="Verdana" w:hAnsi="Verdana"/>
          <w:sz w:val="20"/>
          <w:szCs w:val="20"/>
        </w:rPr>
        <w:t xml:space="preserve">zonder voorafgaande gezondheidsproblemen) in de vaccin groep (n=5807) </w:t>
      </w:r>
      <w:r w:rsidR="00C21631" w:rsidRPr="00456721">
        <w:rPr>
          <w:rFonts w:ascii="Verdana" w:hAnsi="Verdana" w:cs="Segoe UI"/>
          <w:sz w:val="20"/>
          <w:szCs w:val="20"/>
        </w:rPr>
        <w:t xml:space="preserve">1 myelitis en 1 opvlamming van MS opgetreden en in de </w:t>
      </w:r>
      <w:proofErr w:type="gramStart"/>
      <w:r w:rsidR="00C21631" w:rsidRPr="00456721">
        <w:rPr>
          <w:rFonts w:ascii="Verdana" w:hAnsi="Verdana" w:cs="Segoe UI"/>
          <w:sz w:val="20"/>
          <w:szCs w:val="20"/>
        </w:rPr>
        <w:t>controle groep</w:t>
      </w:r>
      <w:proofErr w:type="gramEnd"/>
      <w:r w:rsidR="00C21631" w:rsidRPr="00456721">
        <w:rPr>
          <w:rFonts w:ascii="Verdana" w:hAnsi="Verdana" w:cs="Segoe UI"/>
          <w:sz w:val="20"/>
          <w:szCs w:val="20"/>
        </w:rPr>
        <w:t xml:space="preserve"> (n=5829) 1 myelitis. Een onafhankelijke boordeling van deze casus typeerde van deze 2 casus als ‘waarschijnlijk niet gerelateerd’ aan de interventie, en 1 van deze casus (afkomstig uit de actief behandelde groep) als ‘mogelijk gerelateerd’ aan behandeling. </w:t>
      </w:r>
    </w:p>
    <w:p w14:paraId="119F8B66" w14:textId="476695CA" w:rsidR="005E3352" w:rsidRDefault="00821003" w:rsidP="00FE31FB">
      <w:pPr>
        <w:rPr>
          <w:rFonts w:ascii="Verdana" w:hAnsi="Verdana"/>
          <w:sz w:val="20"/>
          <w:szCs w:val="20"/>
        </w:rPr>
      </w:pPr>
      <w:r w:rsidRPr="00456721">
        <w:rPr>
          <w:rFonts w:ascii="Verdana" w:hAnsi="Verdana" w:cs="Segoe UI"/>
          <w:sz w:val="20"/>
          <w:szCs w:val="20"/>
        </w:rPr>
        <w:t xml:space="preserve">Op basis van de beschikbare data is het op dit moment nog niet mogelijk om uitspraken te doen of het ene vaccin beter </w:t>
      </w:r>
      <w:r w:rsidR="00C21631" w:rsidRPr="00456721">
        <w:rPr>
          <w:rFonts w:ascii="Verdana" w:hAnsi="Verdana" w:cs="Segoe UI"/>
          <w:sz w:val="20"/>
          <w:szCs w:val="20"/>
        </w:rPr>
        <w:t xml:space="preserve">of veiliger </w:t>
      </w:r>
      <w:r w:rsidRPr="00456721">
        <w:rPr>
          <w:rFonts w:ascii="Verdana" w:hAnsi="Verdana" w:cs="Segoe UI"/>
          <w:sz w:val="20"/>
          <w:szCs w:val="20"/>
        </w:rPr>
        <w:t>zou zijn dan het andere voor mensen met MS</w:t>
      </w:r>
      <w:r w:rsidR="00CA2B27">
        <w:rPr>
          <w:rFonts w:ascii="Verdana" w:hAnsi="Verdana" w:cs="Segoe UI"/>
          <w:sz w:val="20"/>
          <w:szCs w:val="20"/>
        </w:rPr>
        <w:t>,</w:t>
      </w:r>
      <w:r w:rsidR="00CA2B27" w:rsidRPr="00CA2B27">
        <w:rPr>
          <w:rFonts w:ascii="Verdana" w:hAnsi="Verdana" w:cs="Segoe UI"/>
          <w:sz w:val="20"/>
          <w:szCs w:val="20"/>
        </w:rPr>
        <w:t xml:space="preserve"> ook niet wat betr</w:t>
      </w:r>
      <w:r w:rsidR="00CA2B27">
        <w:rPr>
          <w:rFonts w:ascii="Verdana" w:hAnsi="Verdana" w:cs="Segoe UI"/>
          <w:sz w:val="20"/>
          <w:szCs w:val="20"/>
        </w:rPr>
        <w:t>eft zeldzame bijwerkingen als tr</w:t>
      </w:r>
      <w:r w:rsidR="00CA2B27" w:rsidRPr="00CA2B27">
        <w:rPr>
          <w:rFonts w:ascii="Verdana" w:hAnsi="Verdana" w:cs="Segoe UI"/>
          <w:sz w:val="20"/>
          <w:szCs w:val="20"/>
        </w:rPr>
        <w:t>ombose en ‘vaccine-</w:t>
      </w:r>
      <w:proofErr w:type="spellStart"/>
      <w:r w:rsidR="00CA2B27" w:rsidRPr="00CA2B27">
        <w:rPr>
          <w:rFonts w:ascii="Verdana" w:hAnsi="Verdana" w:cs="Segoe UI"/>
          <w:sz w:val="20"/>
          <w:szCs w:val="20"/>
        </w:rPr>
        <w:t>induced</w:t>
      </w:r>
      <w:proofErr w:type="spellEnd"/>
      <w:r w:rsidR="00CA2B27" w:rsidRPr="00CA2B27">
        <w:rPr>
          <w:rFonts w:ascii="Verdana" w:hAnsi="Verdana" w:cs="Segoe UI"/>
          <w:sz w:val="20"/>
          <w:szCs w:val="20"/>
        </w:rPr>
        <w:t xml:space="preserve"> immune </w:t>
      </w:r>
      <w:proofErr w:type="spellStart"/>
      <w:r w:rsidR="00CA2B27" w:rsidRPr="00CA2B27">
        <w:rPr>
          <w:rFonts w:ascii="Verdana" w:hAnsi="Verdana" w:cs="Segoe UI"/>
          <w:sz w:val="20"/>
          <w:szCs w:val="20"/>
        </w:rPr>
        <w:t>thrombotic</w:t>
      </w:r>
      <w:proofErr w:type="spellEnd"/>
      <w:r w:rsidR="00CA2B27" w:rsidRPr="00CA2B27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="00CA2B27" w:rsidRPr="00CA2B27">
        <w:rPr>
          <w:rFonts w:ascii="Verdana" w:hAnsi="Verdana" w:cs="Segoe UI"/>
          <w:sz w:val="20"/>
          <w:szCs w:val="20"/>
        </w:rPr>
        <w:t>trombocytopenia</w:t>
      </w:r>
      <w:proofErr w:type="spellEnd"/>
      <w:r w:rsidR="00CA2B27" w:rsidRPr="00CA2B27">
        <w:rPr>
          <w:rFonts w:ascii="Verdana" w:hAnsi="Verdana" w:cs="Segoe UI"/>
          <w:sz w:val="20"/>
          <w:szCs w:val="20"/>
        </w:rPr>
        <w:t>’(VITT)</w:t>
      </w:r>
      <w:r w:rsidRPr="00456721">
        <w:rPr>
          <w:rFonts w:ascii="Verdana" w:hAnsi="Verdana" w:cs="Segoe UI"/>
          <w:sz w:val="20"/>
          <w:szCs w:val="20"/>
        </w:rPr>
        <w:t xml:space="preserve">. Ook uit landen waar al uitgebreider gevaccineerd is zijn geen veiligheid meldingen voor bepaalde subgroepen bekend. </w:t>
      </w:r>
      <w:r w:rsidR="009747C5" w:rsidRPr="00821003">
        <w:rPr>
          <w:rFonts w:ascii="Verdana" w:hAnsi="Verdana"/>
          <w:sz w:val="20"/>
          <w:szCs w:val="20"/>
        </w:rPr>
        <w:t>Andere vaccins zijn momenteel nog in onderzoek.</w:t>
      </w:r>
    </w:p>
    <w:p w14:paraId="7D31FE3D" w14:textId="30893A48" w:rsidR="00F14751" w:rsidRDefault="00F14751" w:rsidP="00FE31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Wij nemen het advies van de Gezondheidsraad over dat ook mensen met doorgemaakte COVID-19 bij wie er mogelijk een verminderde vaccinrespons is het beste een volledig vaccinatieschema kunnen krijgen, dit in tegenstelling tot gezonde personen bij wie na doorgemaakte COVID-19 één dosis vaccin volstaat. Voor zover nu bekend is een verminderde vaccinrespons te verwachten bij B-cel </w:t>
      </w:r>
      <w:proofErr w:type="spellStart"/>
      <w:r>
        <w:rPr>
          <w:rFonts w:ascii="Verdana" w:hAnsi="Verdana"/>
          <w:sz w:val="20"/>
          <w:szCs w:val="20"/>
        </w:rPr>
        <w:t>depleterende</w:t>
      </w:r>
      <w:proofErr w:type="spellEnd"/>
      <w:r>
        <w:rPr>
          <w:rFonts w:ascii="Verdana" w:hAnsi="Verdana"/>
          <w:sz w:val="20"/>
          <w:szCs w:val="20"/>
        </w:rPr>
        <w:t xml:space="preserve"> behandelingen, </w:t>
      </w:r>
      <w:r w:rsidR="001F6231" w:rsidRPr="001F6231">
        <w:rPr>
          <w:rFonts w:ascii="Verdana" w:hAnsi="Verdana"/>
          <w:sz w:val="20"/>
          <w:szCs w:val="20"/>
        </w:rPr>
        <w:t>S1P-receptor</w:t>
      </w:r>
      <w:r w:rsidR="001F6231">
        <w:rPr>
          <w:rFonts w:ascii="Verdana" w:hAnsi="Verdana"/>
          <w:sz w:val="20"/>
          <w:szCs w:val="20"/>
        </w:rPr>
        <w:t xml:space="preserve"> antagonisten en d</w:t>
      </w:r>
      <w:r w:rsidR="003502E5">
        <w:rPr>
          <w:rFonts w:ascii="Verdana" w:hAnsi="Verdana"/>
          <w:sz w:val="20"/>
          <w:szCs w:val="20"/>
        </w:rPr>
        <w:t>e</w:t>
      </w:r>
      <w:r w:rsidR="001F6231">
        <w:rPr>
          <w:rFonts w:ascii="Verdana" w:hAnsi="Verdana"/>
          <w:sz w:val="20"/>
          <w:szCs w:val="20"/>
        </w:rPr>
        <w:t xml:space="preserve"> eerste maanden na behandeling met </w:t>
      </w:r>
      <w:proofErr w:type="spellStart"/>
      <w:r w:rsidR="001F6231">
        <w:rPr>
          <w:rFonts w:ascii="Verdana" w:hAnsi="Verdana"/>
          <w:sz w:val="20"/>
          <w:szCs w:val="20"/>
        </w:rPr>
        <w:t>alemtuzumab</w:t>
      </w:r>
      <w:proofErr w:type="spellEnd"/>
      <w:r w:rsidR="001F6231">
        <w:rPr>
          <w:rFonts w:ascii="Verdana" w:hAnsi="Verdana"/>
          <w:sz w:val="20"/>
          <w:szCs w:val="20"/>
        </w:rPr>
        <w:t xml:space="preserve">, </w:t>
      </w:r>
      <w:proofErr w:type="spellStart"/>
      <w:r w:rsidR="001F6231">
        <w:rPr>
          <w:rFonts w:ascii="Verdana" w:hAnsi="Verdana"/>
          <w:sz w:val="20"/>
          <w:szCs w:val="20"/>
        </w:rPr>
        <w:t>cladribine</w:t>
      </w:r>
      <w:proofErr w:type="spellEnd"/>
      <w:r w:rsidR="001F6231">
        <w:rPr>
          <w:rFonts w:ascii="Verdana" w:hAnsi="Verdana"/>
          <w:sz w:val="20"/>
          <w:szCs w:val="20"/>
        </w:rPr>
        <w:t xml:space="preserve"> en stamceltherapie.</w:t>
      </w:r>
    </w:p>
    <w:p w14:paraId="52986E7E" w14:textId="77777777" w:rsidR="006032B3" w:rsidRPr="00821003" w:rsidRDefault="006032B3" w:rsidP="00C951A5">
      <w:pPr>
        <w:spacing w:line="240" w:lineRule="auto"/>
        <w:rPr>
          <w:rFonts w:ascii="Verdana" w:hAnsi="Verdana"/>
          <w:sz w:val="20"/>
          <w:szCs w:val="20"/>
        </w:rPr>
      </w:pPr>
    </w:p>
    <w:p w14:paraId="30B3819A" w14:textId="27D12FB1" w:rsidR="00797477" w:rsidRPr="000048BE" w:rsidRDefault="003903CA" w:rsidP="00797477">
      <w:pPr>
        <w:spacing w:after="0" w:line="240" w:lineRule="auto"/>
        <w:rPr>
          <w:rFonts w:ascii="Verdana" w:hAnsi="Verdana"/>
          <w:sz w:val="20"/>
          <w:szCs w:val="20"/>
        </w:rPr>
      </w:pPr>
      <w:r w:rsidRPr="000048BE">
        <w:rPr>
          <w:rFonts w:ascii="Verdana" w:hAnsi="Verdana"/>
          <w:sz w:val="20"/>
          <w:szCs w:val="20"/>
        </w:rPr>
        <w:lastRenderedPageBreak/>
        <w:t xml:space="preserve">RIVM ADVIES EN </w:t>
      </w:r>
      <w:r w:rsidR="00676AB8" w:rsidRPr="000048BE">
        <w:rPr>
          <w:rFonts w:ascii="Verdana" w:hAnsi="Verdana"/>
          <w:sz w:val="20"/>
          <w:szCs w:val="20"/>
        </w:rPr>
        <w:t>INTERNATIONALE ADVIEZEN</w:t>
      </w:r>
    </w:p>
    <w:p w14:paraId="76011168" w14:textId="2205C0BD" w:rsidR="00B11CBE" w:rsidRPr="000048BE" w:rsidRDefault="00B11CBE" w:rsidP="0079747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E55A28" w14:textId="4A34E162" w:rsidR="003903CA" w:rsidRDefault="005A7C7D" w:rsidP="00FF5DDC">
      <w:pPr>
        <w:spacing w:line="240" w:lineRule="auto"/>
      </w:pPr>
      <w:hyperlink r:id="rId9" w:history="1">
        <w:r w:rsidR="003903CA">
          <w:rPr>
            <w:rStyle w:val="Hyperlink"/>
          </w:rPr>
          <w:t xml:space="preserve">COVID-19-vaccinatie van </w:t>
        </w:r>
        <w:proofErr w:type="spellStart"/>
        <w:r w:rsidR="003903CA">
          <w:rPr>
            <w:rStyle w:val="Hyperlink"/>
          </w:rPr>
          <w:t>immuungecompromitteerde</w:t>
        </w:r>
        <w:proofErr w:type="spellEnd"/>
        <w:r w:rsidR="003903CA">
          <w:rPr>
            <w:rStyle w:val="Hyperlink"/>
          </w:rPr>
          <w:t xml:space="preserve"> patiënten | </w:t>
        </w:r>
        <w:proofErr w:type="gramStart"/>
        <w:r w:rsidR="003903CA">
          <w:rPr>
            <w:rStyle w:val="Hyperlink"/>
          </w:rPr>
          <w:t>LCI richtlijnen</w:t>
        </w:r>
        <w:proofErr w:type="gramEnd"/>
        <w:r w:rsidR="003903CA">
          <w:rPr>
            <w:rStyle w:val="Hyperlink"/>
          </w:rPr>
          <w:t xml:space="preserve"> (rivm.nl)</w:t>
        </w:r>
      </w:hyperlink>
    </w:p>
    <w:p w14:paraId="27B7DC28" w14:textId="77777777" w:rsidR="003903CA" w:rsidRDefault="003903CA" w:rsidP="00797477">
      <w:pPr>
        <w:spacing w:after="0" w:line="240" w:lineRule="auto"/>
      </w:pPr>
    </w:p>
    <w:p w14:paraId="51BFD32C" w14:textId="74FD7102" w:rsidR="00B11CBE" w:rsidRPr="005E3352" w:rsidRDefault="005A7C7D" w:rsidP="0079747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hyperlink r:id="rId10" w:anchor="section-1" w:history="1">
        <w:r w:rsidR="00B11CBE" w:rsidRPr="003903CA">
          <w:rPr>
            <w:rStyle w:val="Hyperlink"/>
            <w:lang w:val="en-US"/>
          </w:rPr>
          <w:t>COVID-19 Vaccine Guidance for People Living with MS | National MS Society | National Multiple Sclerosis Society</w:t>
        </w:r>
      </w:hyperlink>
    </w:p>
    <w:p w14:paraId="717FB79A" w14:textId="77777777" w:rsidR="00797477" w:rsidRPr="005E3352" w:rsidRDefault="00797477" w:rsidP="0079747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BB373CC" w14:textId="77777777" w:rsidR="00797477" w:rsidRPr="005E3352" w:rsidRDefault="005A7C7D" w:rsidP="0079747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hyperlink r:id="rId11" w:history="1">
        <w:r w:rsidR="00797477" w:rsidRPr="005E3352">
          <w:rPr>
            <w:rStyle w:val="Hyperlink"/>
            <w:lang w:val="en-US"/>
          </w:rPr>
          <w:t>MS Society Medical Advisers release consensus statement on MS treatments and COVID-19 vaccines | Multiple Sclerosis Society UK</w:t>
        </w:r>
      </w:hyperlink>
    </w:p>
    <w:p w14:paraId="3E6E45D5" w14:textId="77777777" w:rsidR="00797477" w:rsidRPr="005E3352" w:rsidRDefault="00797477" w:rsidP="0079747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2779C55C" w14:textId="77777777" w:rsidR="00797477" w:rsidRDefault="005A7C7D" w:rsidP="006A00BB">
      <w:pPr>
        <w:spacing w:line="240" w:lineRule="auto"/>
        <w:rPr>
          <w:rFonts w:ascii="Verdana" w:hAnsi="Verdana"/>
          <w:sz w:val="20"/>
          <w:szCs w:val="20"/>
        </w:rPr>
      </w:pPr>
      <w:hyperlink r:id="rId12" w:history="1">
        <w:r w:rsidR="00797477">
          <w:rPr>
            <w:rStyle w:val="Hyperlink"/>
          </w:rPr>
          <w:t>Vaccinatie tegen COVID-19 | MS-Liga Vlaanderen (ms-vlaanderen.be)</w:t>
        </w:r>
      </w:hyperlink>
    </w:p>
    <w:p w14:paraId="23C9D31A" w14:textId="77777777" w:rsidR="00456721" w:rsidRPr="003903CA" w:rsidRDefault="00456721" w:rsidP="006A00BB">
      <w:pPr>
        <w:spacing w:line="240" w:lineRule="auto"/>
        <w:rPr>
          <w:rFonts w:ascii="Verdana" w:hAnsi="Verdana"/>
          <w:sz w:val="20"/>
          <w:szCs w:val="20"/>
        </w:rPr>
      </w:pPr>
    </w:p>
    <w:p w14:paraId="0595311E" w14:textId="06C7385C" w:rsidR="00797477" w:rsidRPr="005E3352" w:rsidRDefault="00797477" w:rsidP="006A00BB">
      <w:pPr>
        <w:spacing w:line="240" w:lineRule="auto"/>
        <w:rPr>
          <w:rFonts w:ascii="Verdana" w:hAnsi="Verdana"/>
          <w:sz w:val="20"/>
          <w:szCs w:val="20"/>
          <w:lang w:val="en-US"/>
        </w:rPr>
      </w:pPr>
      <w:r w:rsidRPr="005E3352">
        <w:rPr>
          <w:rFonts w:ascii="Verdana" w:hAnsi="Verdana"/>
          <w:sz w:val="20"/>
          <w:szCs w:val="20"/>
          <w:lang w:val="en-US"/>
        </w:rPr>
        <w:t>LITERATUUR</w:t>
      </w:r>
    </w:p>
    <w:p w14:paraId="478A0571" w14:textId="77777777" w:rsidR="009747C5" w:rsidRPr="005E3352" w:rsidRDefault="009747C5" w:rsidP="0079747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E3352">
        <w:rPr>
          <w:rFonts w:ascii="Verdana" w:hAnsi="Verdana"/>
          <w:sz w:val="20"/>
          <w:szCs w:val="20"/>
          <w:lang w:val="en-US"/>
        </w:rPr>
        <w:t>Efficacy and Safety of the mRNA-1273 SARS-CoV-2 Vaccine</w:t>
      </w:r>
    </w:p>
    <w:p w14:paraId="14FFAD13" w14:textId="77777777" w:rsidR="006A00BB" w:rsidRDefault="009747C5" w:rsidP="00797477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9747C5">
        <w:rPr>
          <w:rFonts w:ascii="Verdana" w:hAnsi="Verdana"/>
          <w:sz w:val="20"/>
          <w:szCs w:val="20"/>
        </w:rPr>
        <w:t>L.R. Baden</w:t>
      </w:r>
      <w:r>
        <w:rPr>
          <w:rFonts w:ascii="Verdana" w:hAnsi="Verdana"/>
          <w:sz w:val="20"/>
          <w:szCs w:val="20"/>
        </w:rPr>
        <w:t xml:space="preserve"> </w:t>
      </w:r>
      <w:r w:rsidR="00797477">
        <w:rPr>
          <w:rFonts w:ascii="Verdana" w:hAnsi="Verdana"/>
          <w:sz w:val="20"/>
          <w:szCs w:val="20"/>
        </w:rPr>
        <w:t xml:space="preserve">NEJM. </w:t>
      </w:r>
      <w:r w:rsidRPr="009747C5">
        <w:rPr>
          <w:rFonts w:ascii="Verdana" w:hAnsi="Verdana"/>
          <w:sz w:val="20"/>
          <w:szCs w:val="20"/>
        </w:rPr>
        <w:t>December 30,</w:t>
      </w:r>
      <w:r w:rsidR="00797477">
        <w:rPr>
          <w:rFonts w:ascii="Verdana" w:hAnsi="Verdana"/>
          <w:sz w:val="20"/>
          <w:szCs w:val="20"/>
        </w:rPr>
        <w:t xml:space="preserve"> </w:t>
      </w:r>
      <w:r w:rsidRPr="00797477">
        <w:rPr>
          <w:rFonts w:ascii="Verdana" w:hAnsi="Verdana"/>
          <w:sz w:val="20"/>
          <w:szCs w:val="20"/>
        </w:rPr>
        <w:t xml:space="preserve">2020, </w:t>
      </w:r>
      <w:r w:rsidRPr="00797477">
        <w:rPr>
          <w:rFonts w:ascii="Verdana" w:hAnsi="Verdana"/>
          <w:bCs/>
          <w:sz w:val="20"/>
          <w:szCs w:val="20"/>
        </w:rPr>
        <w:t>DOI:</w:t>
      </w:r>
      <w:r w:rsidR="00797477">
        <w:rPr>
          <w:rFonts w:ascii="Verdana" w:hAnsi="Verdana"/>
          <w:bCs/>
          <w:sz w:val="20"/>
          <w:szCs w:val="20"/>
        </w:rPr>
        <w:t xml:space="preserve"> </w:t>
      </w:r>
      <w:r w:rsidRPr="00797477">
        <w:rPr>
          <w:rFonts w:ascii="Verdana" w:hAnsi="Verdana"/>
          <w:bCs/>
          <w:sz w:val="20"/>
          <w:szCs w:val="20"/>
        </w:rPr>
        <w:t>10.1056/NEJMoa2035389</w:t>
      </w:r>
    </w:p>
    <w:p w14:paraId="2F9F7065" w14:textId="77777777" w:rsidR="00797477" w:rsidRDefault="00797477" w:rsidP="00797477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12A798E7" w14:textId="77777777" w:rsidR="00797477" w:rsidRPr="005E3352" w:rsidRDefault="00797477" w:rsidP="0079747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E3352">
        <w:rPr>
          <w:rFonts w:ascii="Verdana" w:hAnsi="Verdana"/>
          <w:sz w:val="20"/>
          <w:szCs w:val="20"/>
          <w:lang w:val="en-US"/>
        </w:rPr>
        <w:t>Safety and Efficacy of the BNT162b2 mRNA Covid-19 Vaccine</w:t>
      </w:r>
    </w:p>
    <w:p w14:paraId="42A190F6" w14:textId="77777777" w:rsidR="00797477" w:rsidRPr="005E3352" w:rsidRDefault="00797477" w:rsidP="00797477">
      <w:pPr>
        <w:spacing w:after="0" w:line="240" w:lineRule="auto"/>
        <w:rPr>
          <w:rFonts w:ascii="Verdana" w:hAnsi="Verdana"/>
          <w:bCs/>
          <w:sz w:val="20"/>
          <w:szCs w:val="20"/>
          <w:lang w:val="en-US"/>
        </w:rPr>
      </w:pPr>
      <w:r w:rsidRPr="005E3352">
        <w:rPr>
          <w:rFonts w:ascii="Verdana" w:hAnsi="Verdana"/>
          <w:sz w:val="20"/>
          <w:szCs w:val="20"/>
          <w:lang w:val="en-US"/>
        </w:rPr>
        <w:t xml:space="preserve">Fernando P. Polack NEJM December 10, 2020, </w:t>
      </w:r>
      <w:r w:rsidRPr="005E3352">
        <w:rPr>
          <w:rFonts w:ascii="Verdana" w:hAnsi="Verdana"/>
          <w:bCs/>
          <w:sz w:val="20"/>
          <w:szCs w:val="20"/>
          <w:lang w:val="en-US"/>
        </w:rPr>
        <w:t>DOI: 10.1056/NEJMoa2034577</w:t>
      </w:r>
    </w:p>
    <w:p w14:paraId="4B430C4D" w14:textId="77777777" w:rsidR="00797477" w:rsidRPr="005E3352" w:rsidRDefault="00797477" w:rsidP="0079747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63BC521" w14:textId="77777777" w:rsidR="009747C5" w:rsidRPr="005E3352" w:rsidRDefault="009747C5" w:rsidP="00797477">
      <w:pPr>
        <w:spacing w:after="0" w:line="240" w:lineRule="auto"/>
        <w:rPr>
          <w:rFonts w:ascii="Verdana" w:hAnsi="Verdana"/>
          <w:bCs/>
          <w:sz w:val="20"/>
          <w:szCs w:val="20"/>
          <w:lang w:val="en-US"/>
        </w:rPr>
      </w:pPr>
      <w:r w:rsidRPr="005E3352">
        <w:rPr>
          <w:rFonts w:ascii="Verdana" w:hAnsi="Verdana"/>
          <w:bCs/>
          <w:sz w:val="20"/>
          <w:szCs w:val="20"/>
          <w:lang w:val="en-US"/>
        </w:rPr>
        <w:t xml:space="preserve">Safety and efficacy of the ChAdOx1 nCoV-19 vaccine (AZD1222) against SARS-CoV-2: an interim analysis of four </w:t>
      </w:r>
      <w:proofErr w:type="spellStart"/>
      <w:r w:rsidRPr="005E3352">
        <w:rPr>
          <w:rFonts w:ascii="Verdana" w:hAnsi="Verdana"/>
          <w:bCs/>
          <w:sz w:val="20"/>
          <w:szCs w:val="20"/>
          <w:lang w:val="en-US"/>
        </w:rPr>
        <w:t>randomised</w:t>
      </w:r>
      <w:proofErr w:type="spellEnd"/>
      <w:r w:rsidRPr="005E3352">
        <w:rPr>
          <w:rFonts w:ascii="Verdana" w:hAnsi="Verdana"/>
          <w:bCs/>
          <w:sz w:val="20"/>
          <w:szCs w:val="20"/>
          <w:lang w:val="en-US"/>
        </w:rPr>
        <w:t xml:space="preserve"> controlled trials in Brazil, South Africa, and the UK</w:t>
      </w:r>
    </w:p>
    <w:p w14:paraId="1E06770E" w14:textId="293149AD" w:rsidR="00797477" w:rsidRDefault="009747C5" w:rsidP="00797477">
      <w:pPr>
        <w:spacing w:after="0" w:line="240" w:lineRule="auto"/>
        <w:rPr>
          <w:rFonts w:ascii="Verdana" w:hAnsi="Verdana"/>
          <w:iCs/>
          <w:sz w:val="20"/>
          <w:szCs w:val="20"/>
        </w:rPr>
      </w:pPr>
      <w:proofErr w:type="spellStart"/>
      <w:r w:rsidRPr="009747C5">
        <w:rPr>
          <w:rFonts w:ascii="Verdana" w:hAnsi="Verdana"/>
          <w:iCs/>
          <w:sz w:val="20"/>
          <w:szCs w:val="20"/>
        </w:rPr>
        <w:t>Merryn</w:t>
      </w:r>
      <w:proofErr w:type="spellEnd"/>
      <w:r w:rsidRPr="009747C5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9747C5">
        <w:rPr>
          <w:rFonts w:ascii="Verdana" w:hAnsi="Verdana"/>
          <w:iCs/>
          <w:sz w:val="20"/>
          <w:szCs w:val="20"/>
        </w:rPr>
        <w:t>Voysey</w:t>
      </w:r>
      <w:proofErr w:type="spellEnd"/>
      <w:r>
        <w:rPr>
          <w:rFonts w:ascii="Verdana" w:hAnsi="Verdana"/>
          <w:iCs/>
          <w:sz w:val="20"/>
          <w:szCs w:val="20"/>
        </w:rPr>
        <w:t xml:space="preserve"> et al </w:t>
      </w:r>
      <w:r w:rsidRPr="009747C5">
        <w:rPr>
          <w:rFonts w:ascii="Verdana" w:hAnsi="Verdana"/>
          <w:iCs/>
          <w:sz w:val="20"/>
          <w:szCs w:val="20"/>
        </w:rPr>
        <w:t>Lancet. 2020 Dec 8;397(10269):99-111. </w:t>
      </w:r>
    </w:p>
    <w:p w14:paraId="62E434FB" w14:textId="67D177CB" w:rsidR="00167D2F" w:rsidRDefault="00167D2F" w:rsidP="00797477">
      <w:pPr>
        <w:spacing w:after="0" w:line="240" w:lineRule="auto"/>
        <w:rPr>
          <w:rFonts w:ascii="Verdana" w:hAnsi="Verdana"/>
          <w:iCs/>
          <w:sz w:val="20"/>
          <w:szCs w:val="20"/>
        </w:rPr>
      </w:pPr>
    </w:p>
    <w:p w14:paraId="210AAAF2" w14:textId="77777777" w:rsidR="00656903" w:rsidRPr="00692475" w:rsidRDefault="00656903" w:rsidP="0065690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92475">
        <w:rPr>
          <w:rFonts w:ascii="Verdana" w:hAnsi="Verdana"/>
          <w:sz w:val="20"/>
          <w:szCs w:val="20"/>
          <w:lang w:val="en-US"/>
        </w:rPr>
        <w:t>Interim Results of a Phase 1-2a Trial of Ad26.COV</w:t>
      </w:r>
      <w:proofErr w:type="gramStart"/>
      <w:r w:rsidRPr="00692475">
        <w:rPr>
          <w:rFonts w:ascii="Verdana" w:hAnsi="Verdana"/>
          <w:sz w:val="20"/>
          <w:szCs w:val="20"/>
          <w:lang w:val="en-US"/>
        </w:rPr>
        <w:t>2.S</w:t>
      </w:r>
      <w:proofErr w:type="gramEnd"/>
      <w:r w:rsidRPr="00692475">
        <w:rPr>
          <w:rFonts w:ascii="Verdana" w:hAnsi="Verdana"/>
          <w:sz w:val="20"/>
          <w:szCs w:val="20"/>
          <w:lang w:val="en-US"/>
        </w:rPr>
        <w:t xml:space="preserve"> Covid-19 Vaccine. </w:t>
      </w:r>
      <w:proofErr w:type="spellStart"/>
      <w:r w:rsidRPr="00692475">
        <w:rPr>
          <w:rFonts w:ascii="Verdana" w:hAnsi="Verdana"/>
          <w:sz w:val="20"/>
          <w:szCs w:val="20"/>
          <w:lang w:val="en-US"/>
        </w:rPr>
        <w:t>Sadoff</w:t>
      </w:r>
      <w:proofErr w:type="spellEnd"/>
      <w:r w:rsidRPr="00692475">
        <w:rPr>
          <w:rFonts w:ascii="Verdana" w:hAnsi="Verdana"/>
          <w:sz w:val="20"/>
          <w:szCs w:val="20"/>
          <w:lang w:val="en-US"/>
        </w:rPr>
        <w:t xml:space="preserve"> et al</w:t>
      </w:r>
    </w:p>
    <w:p w14:paraId="7912156C" w14:textId="230D44DD" w:rsidR="002E5874" w:rsidRPr="00692475" w:rsidRDefault="00656903" w:rsidP="0079747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92475">
        <w:rPr>
          <w:rFonts w:ascii="Verdana" w:hAnsi="Verdana"/>
          <w:sz w:val="20"/>
          <w:szCs w:val="20"/>
          <w:lang w:val="en-US"/>
        </w:rPr>
        <w:t xml:space="preserve">N </w:t>
      </w:r>
      <w:proofErr w:type="spellStart"/>
      <w:r w:rsidRPr="00692475">
        <w:rPr>
          <w:rFonts w:ascii="Verdana" w:hAnsi="Verdana"/>
          <w:sz w:val="20"/>
          <w:szCs w:val="20"/>
          <w:lang w:val="en-US"/>
        </w:rPr>
        <w:t>Engl</w:t>
      </w:r>
      <w:proofErr w:type="spellEnd"/>
      <w:r w:rsidRPr="00692475">
        <w:rPr>
          <w:rFonts w:ascii="Verdana" w:hAnsi="Verdana"/>
          <w:sz w:val="20"/>
          <w:szCs w:val="20"/>
          <w:lang w:val="en-US"/>
        </w:rPr>
        <w:t xml:space="preserve"> J Med. 2021 Jan 13; </w:t>
      </w:r>
      <w:proofErr w:type="spellStart"/>
      <w:r w:rsidRPr="00692475">
        <w:rPr>
          <w:rFonts w:ascii="Verdana" w:hAnsi="Verdana"/>
          <w:sz w:val="20"/>
          <w:szCs w:val="20"/>
          <w:lang w:val="en-US"/>
        </w:rPr>
        <w:t>doi</w:t>
      </w:r>
      <w:proofErr w:type="spellEnd"/>
      <w:r w:rsidRPr="00692475">
        <w:rPr>
          <w:rFonts w:ascii="Verdana" w:hAnsi="Verdana"/>
          <w:sz w:val="20"/>
          <w:szCs w:val="20"/>
          <w:lang w:val="en-US"/>
        </w:rPr>
        <w:t>: 10.1056/NEJMoa2034201.</w:t>
      </w:r>
      <w:r w:rsidR="00797477" w:rsidRPr="00692475">
        <w:rPr>
          <w:rFonts w:ascii="Verdana" w:hAnsi="Verdana"/>
          <w:sz w:val="20"/>
          <w:szCs w:val="20"/>
          <w:lang w:val="en-US"/>
        </w:rPr>
        <w:t xml:space="preserve"> </w:t>
      </w:r>
    </w:p>
    <w:p w14:paraId="4F178FCD" w14:textId="77777777" w:rsidR="00656903" w:rsidRPr="00692475" w:rsidRDefault="00656903" w:rsidP="0079747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5CCB90F" w14:textId="77777777" w:rsidR="006A00BB" w:rsidRPr="005E3352" w:rsidRDefault="006A00BB" w:rsidP="004019E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E3352">
        <w:rPr>
          <w:rFonts w:ascii="Verdana" w:hAnsi="Verdana"/>
          <w:sz w:val="20"/>
          <w:szCs w:val="20"/>
          <w:lang w:val="en-US"/>
        </w:rPr>
        <w:t>Practice guideline update summary: Vaccine</w:t>
      </w:r>
      <w:r w:rsidR="004019E5" w:rsidRPr="005E3352">
        <w:rPr>
          <w:rFonts w:ascii="Verdana" w:hAnsi="Verdana"/>
          <w:sz w:val="20"/>
          <w:szCs w:val="20"/>
          <w:lang w:val="en-US"/>
        </w:rPr>
        <w:t xml:space="preserve"> </w:t>
      </w:r>
      <w:r w:rsidRPr="005E3352">
        <w:rPr>
          <w:rFonts w:ascii="Verdana" w:hAnsi="Verdana"/>
          <w:sz w:val="20"/>
          <w:szCs w:val="20"/>
          <w:lang w:val="en-US"/>
        </w:rPr>
        <w:t>preventable</w:t>
      </w:r>
      <w:r w:rsidR="004019E5" w:rsidRPr="005E3352">
        <w:rPr>
          <w:rFonts w:ascii="Verdana" w:hAnsi="Verdana"/>
          <w:sz w:val="20"/>
          <w:szCs w:val="20"/>
          <w:lang w:val="en-US"/>
        </w:rPr>
        <w:t xml:space="preserve"> </w:t>
      </w:r>
      <w:r w:rsidRPr="005E3352">
        <w:rPr>
          <w:rFonts w:ascii="Verdana" w:hAnsi="Verdana"/>
          <w:sz w:val="20"/>
          <w:szCs w:val="20"/>
          <w:lang w:val="en-US"/>
        </w:rPr>
        <w:t>infections and immunization in</w:t>
      </w:r>
    </w:p>
    <w:p w14:paraId="59E452C8" w14:textId="77777777" w:rsidR="006A00BB" w:rsidRPr="005E3352" w:rsidRDefault="006A00BB" w:rsidP="004019E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E3352">
        <w:rPr>
          <w:rFonts w:ascii="Verdana" w:hAnsi="Verdana"/>
          <w:sz w:val="20"/>
          <w:szCs w:val="20"/>
          <w:lang w:val="en-US"/>
        </w:rPr>
        <w:t>multiple sclerosis</w:t>
      </w:r>
      <w:r w:rsidR="004019E5" w:rsidRPr="005E3352">
        <w:rPr>
          <w:rFonts w:ascii="Verdana" w:hAnsi="Verdana"/>
          <w:sz w:val="20"/>
          <w:szCs w:val="20"/>
          <w:lang w:val="en-US"/>
        </w:rPr>
        <w:t xml:space="preserve"> </w:t>
      </w:r>
      <w:r w:rsidRPr="005E3352">
        <w:rPr>
          <w:rFonts w:ascii="Verdana" w:hAnsi="Verdana"/>
          <w:sz w:val="20"/>
          <w:szCs w:val="20"/>
          <w:lang w:val="en-US"/>
        </w:rPr>
        <w:t>Report of the Guideline Development, Dissemination, and Implementation</w:t>
      </w:r>
      <w:r w:rsidR="004019E5" w:rsidRPr="005E3352">
        <w:rPr>
          <w:rFonts w:ascii="Verdana" w:hAnsi="Verdana"/>
          <w:sz w:val="20"/>
          <w:szCs w:val="20"/>
          <w:lang w:val="en-US"/>
        </w:rPr>
        <w:t xml:space="preserve"> </w:t>
      </w:r>
      <w:r w:rsidRPr="005E3352">
        <w:rPr>
          <w:rFonts w:ascii="Verdana" w:hAnsi="Verdana"/>
          <w:sz w:val="20"/>
          <w:szCs w:val="20"/>
          <w:lang w:val="en-US"/>
        </w:rPr>
        <w:t>Subcommittee of the American Academy of Neurology</w:t>
      </w:r>
    </w:p>
    <w:p w14:paraId="2748B6CC" w14:textId="05E6539E" w:rsidR="002E5874" w:rsidRDefault="006A00BB" w:rsidP="004019E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6A00BB">
        <w:rPr>
          <w:rFonts w:ascii="Verdana" w:hAnsi="Verdana"/>
          <w:sz w:val="20"/>
          <w:szCs w:val="20"/>
        </w:rPr>
        <w:t>Mauricio</w:t>
      </w:r>
      <w:proofErr w:type="spellEnd"/>
      <w:r w:rsidRPr="006A00BB">
        <w:rPr>
          <w:rFonts w:ascii="Verdana" w:hAnsi="Verdana"/>
          <w:sz w:val="20"/>
          <w:szCs w:val="20"/>
        </w:rPr>
        <w:t xml:space="preserve"> F. </w:t>
      </w:r>
      <w:proofErr w:type="spellStart"/>
      <w:r w:rsidRPr="006A00BB">
        <w:rPr>
          <w:rFonts w:ascii="Verdana" w:hAnsi="Verdana"/>
          <w:sz w:val="20"/>
          <w:szCs w:val="20"/>
        </w:rPr>
        <w:t>Farez</w:t>
      </w:r>
      <w:proofErr w:type="spellEnd"/>
      <w:r w:rsidRPr="006A00BB">
        <w:rPr>
          <w:rFonts w:ascii="Verdana" w:hAnsi="Verdana"/>
          <w:sz w:val="20"/>
          <w:szCs w:val="20"/>
        </w:rPr>
        <w:t xml:space="preserve">, </w:t>
      </w:r>
      <w:r w:rsidR="009747C5">
        <w:rPr>
          <w:rFonts w:ascii="Verdana" w:hAnsi="Verdana"/>
          <w:sz w:val="20"/>
          <w:szCs w:val="20"/>
        </w:rPr>
        <w:t>et al</w:t>
      </w:r>
      <w:r w:rsidR="004019E5">
        <w:rPr>
          <w:rFonts w:ascii="Verdana" w:hAnsi="Verdana"/>
          <w:sz w:val="20"/>
          <w:szCs w:val="20"/>
        </w:rPr>
        <w:t xml:space="preserve"> </w:t>
      </w:r>
      <w:proofErr w:type="spellStart"/>
      <w:r w:rsidR="004019E5" w:rsidRPr="004019E5">
        <w:rPr>
          <w:rFonts w:ascii="Verdana" w:hAnsi="Verdana"/>
          <w:sz w:val="20"/>
          <w:szCs w:val="20"/>
        </w:rPr>
        <w:t>Neurology</w:t>
      </w:r>
      <w:proofErr w:type="spellEnd"/>
      <w:r w:rsidR="004019E5" w:rsidRPr="004019E5">
        <w:rPr>
          <w:rFonts w:ascii="Verdana" w:hAnsi="Verdana"/>
          <w:sz w:val="20"/>
          <w:szCs w:val="20"/>
        </w:rPr>
        <w:t xml:space="preserve"> 2019;93:584-594.</w:t>
      </w:r>
    </w:p>
    <w:p w14:paraId="54D029ED" w14:textId="50E54B8D" w:rsidR="00167D2F" w:rsidRDefault="00167D2F" w:rsidP="004019E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D96A538" w14:textId="09B6F860" w:rsidR="00167D2F" w:rsidRPr="00167D2F" w:rsidRDefault="00167D2F" w:rsidP="00167D2F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67D2F" w:rsidRPr="0016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EA17" w14:textId="77777777" w:rsidR="005A7C7D" w:rsidRDefault="005A7C7D" w:rsidP="00177AD1">
      <w:pPr>
        <w:spacing w:after="0" w:line="240" w:lineRule="auto"/>
      </w:pPr>
      <w:r>
        <w:separator/>
      </w:r>
    </w:p>
  </w:endnote>
  <w:endnote w:type="continuationSeparator" w:id="0">
    <w:p w14:paraId="2B4611DE" w14:textId="77777777" w:rsidR="005A7C7D" w:rsidRDefault="005A7C7D" w:rsidP="0017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1081" w14:textId="77777777" w:rsidR="005A7C7D" w:rsidRDefault="005A7C7D" w:rsidP="00177AD1">
      <w:pPr>
        <w:spacing w:after="0" w:line="240" w:lineRule="auto"/>
      </w:pPr>
      <w:r>
        <w:separator/>
      </w:r>
    </w:p>
  </w:footnote>
  <w:footnote w:type="continuationSeparator" w:id="0">
    <w:p w14:paraId="78EF29C7" w14:textId="77777777" w:rsidR="005A7C7D" w:rsidRDefault="005A7C7D" w:rsidP="0017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4084"/>
    <w:multiLevelType w:val="hybridMultilevel"/>
    <w:tmpl w:val="9B4656AA"/>
    <w:lvl w:ilvl="0" w:tplc="60DE8CC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D7421"/>
    <w:multiLevelType w:val="hybridMultilevel"/>
    <w:tmpl w:val="CE7E5BE4"/>
    <w:lvl w:ilvl="0" w:tplc="83DC0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F5F"/>
    <w:multiLevelType w:val="hybridMultilevel"/>
    <w:tmpl w:val="FDB0F592"/>
    <w:lvl w:ilvl="0" w:tplc="6CB60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83DE5"/>
    <w:multiLevelType w:val="hybridMultilevel"/>
    <w:tmpl w:val="07B889E8"/>
    <w:lvl w:ilvl="0" w:tplc="68B45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814"/>
    <w:multiLevelType w:val="hybridMultilevel"/>
    <w:tmpl w:val="7C6A74C4"/>
    <w:lvl w:ilvl="0" w:tplc="C34CDA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7C9A"/>
    <w:multiLevelType w:val="multilevel"/>
    <w:tmpl w:val="EB4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08"/>
    <w:rsid w:val="000048BE"/>
    <w:rsid w:val="000A3E9E"/>
    <w:rsid w:val="000A5FF3"/>
    <w:rsid w:val="000B1073"/>
    <w:rsid w:val="000E647E"/>
    <w:rsid w:val="0011514B"/>
    <w:rsid w:val="00164BAF"/>
    <w:rsid w:val="00167D2F"/>
    <w:rsid w:val="00177AD1"/>
    <w:rsid w:val="001C311C"/>
    <w:rsid w:val="001E3EA1"/>
    <w:rsid w:val="001F6231"/>
    <w:rsid w:val="00204288"/>
    <w:rsid w:val="00237CBD"/>
    <w:rsid w:val="002C072B"/>
    <w:rsid w:val="002D0AA1"/>
    <w:rsid w:val="002E5874"/>
    <w:rsid w:val="003258D6"/>
    <w:rsid w:val="003502E5"/>
    <w:rsid w:val="003903CA"/>
    <w:rsid w:val="003B354E"/>
    <w:rsid w:val="003C55D7"/>
    <w:rsid w:val="004019E5"/>
    <w:rsid w:val="004514B8"/>
    <w:rsid w:val="00456721"/>
    <w:rsid w:val="00461A95"/>
    <w:rsid w:val="00475A09"/>
    <w:rsid w:val="00487F51"/>
    <w:rsid w:val="004E5CB2"/>
    <w:rsid w:val="00520525"/>
    <w:rsid w:val="0056575C"/>
    <w:rsid w:val="005A7C7D"/>
    <w:rsid w:val="005C3166"/>
    <w:rsid w:val="005E3352"/>
    <w:rsid w:val="006032B3"/>
    <w:rsid w:val="00613ADA"/>
    <w:rsid w:val="00650B9C"/>
    <w:rsid w:val="00656903"/>
    <w:rsid w:val="00676AB8"/>
    <w:rsid w:val="00691E3E"/>
    <w:rsid w:val="00692475"/>
    <w:rsid w:val="006A00BB"/>
    <w:rsid w:val="006A0ACE"/>
    <w:rsid w:val="006B2608"/>
    <w:rsid w:val="006C461D"/>
    <w:rsid w:val="00724AFB"/>
    <w:rsid w:val="00774393"/>
    <w:rsid w:val="007934F7"/>
    <w:rsid w:val="00797477"/>
    <w:rsid w:val="007A53A3"/>
    <w:rsid w:val="007A7D8D"/>
    <w:rsid w:val="007B3F41"/>
    <w:rsid w:val="007D2103"/>
    <w:rsid w:val="007E37C6"/>
    <w:rsid w:val="00801F45"/>
    <w:rsid w:val="00811388"/>
    <w:rsid w:val="00817A78"/>
    <w:rsid w:val="00820541"/>
    <w:rsid w:val="00821003"/>
    <w:rsid w:val="008814E3"/>
    <w:rsid w:val="008A2C8C"/>
    <w:rsid w:val="008C5FBE"/>
    <w:rsid w:val="008C6EE8"/>
    <w:rsid w:val="008F1B02"/>
    <w:rsid w:val="008F58DD"/>
    <w:rsid w:val="00900493"/>
    <w:rsid w:val="009051CF"/>
    <w:rsid w:val="00927FDD"/>
    <w:rsid w:val="00933627"/>
    <w:rsid w:val="00972B82"/>
    <w:rsid w:val="009747C5"/>
    <w:rsid w:val="009F4036"/>
    <w:rsid w:val="00A95FE2"/>
    <w:rsid w:val="00AB6563"/>
    <w:rsid w:val="00AC7412"/>
    <w:rsid w:val="00AF2E65"/>
    <w:rsid w:val="00AF3779"/>
    <w:rsid w:val="00B11CBE"/>
    <w:rsid w:val="00B22CF9"/>
    <w:rsid w:val="00BF1CF1"/>
    <w:rsid w:val="00C21631"/>
    <w:rsid w:val="00C44A5F"/>
    <w:rsid w:val="00C951A5"/>
    <w:rsid w:val="00CA2B27"/>
    <w:rsid w:val="00D00F7D"/>
    <w:rsid w:val="00D0283F"/>
    <w:rsid w:val="00DC06C0"/>
    <w:rsid w:val="00DD587F"/>
    <w:rsid w:val="00DD76F0"/>
    <w:rsid w:val="00DE55DD"/>
    <w:rsid w:val="00DF46D9"/>
    <w:rsid w:val="00E57905"/>
    <w:rsid w:val="00E6383F"/>
    <w:rsid w:val="00E72175"/>
    <w:rsid w:val="00E76452"/>
    <w:rsid w:val="00E8378D"/>
    <w:rsid w:val="00E927BE"/>
    <w:rsid w:val="00F14751"/>
    <w:rsid w:val="00F53B79"/>
    <w:rsid w:val="00FE31FB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01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1B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AD1"/>
  </w:style>
  <w:style w:type="paragraph" w:styleId="Voettekst">
    <w:name w:val="footer"/>
    <w:basedOn w:val="Standaard"/>
    <w:link w:val="Voet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AD1"/>
  </w:style>
  <w:style w:type="paragraph" w:styleId="Lijstalinea">
    <w:name w:val="List Paragraph"/>
    <w:basedOn w:val="Standaard"/>
    <w:uiPriority w:val="34"/>
    <w:qFormat/>
    <w:rsid w:val="00AF377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E587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335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35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A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17A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7A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17A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7A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7A78"/>
    <w:rPr>
      <w:b/>
      <w:bCs/>
      <w:sz w:val="20"/>
      <w:szCs w:val="20"/>
    </w:rPr>
  </w:style>
  <w:style w:type="paragraph" w:customStyle="1" w:styleId="Default">
    <w:name w:val="Default"/>
    <w:rsid w:val="00DD58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487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1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630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if.org/news/2020/02/10/the-coronavirus-and-ms-what-you-need-to-kn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-vlaanderen.be/news/vaccinatie-tegen-covid-19?fbclid=IwAR1oSz9bnZLaZwVBAKSN0o6CXMSfc9jo-6lliEY-COd4YfU5BljiWLgilR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society.org.uk/what-we-do/news/ms-society-medical-advisers-release-consensus-statement-covid-19-vacci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tionalmssociety.org/coronavirus-covid-19-information/multiple-sclerosis-and-coronavirus/covid-19-vaccine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ci.rivm.nl/handleiding-covid-19-vaccinatie-van-immuungecompromitteerde-patient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365C-EF54-1249-AFB0-2C40A64C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2021-06-29T20:23:00Z</dcterms:created>
  <dcterms:modified xsi:type="dcterms:W3CDTF">2021-06-29T20:23:00Z</dcterms:modified>
</cp:coreProperties>
</file>